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8F95" w14:textId="77777777" w:rsidR="000678D8" w:rsidRPr="007A2115" w:rsidRDefault="000678D8" w:rsidP="000678D8">
      <w:pPr>
        <w:pStyle w:val="TableParagraph"/>
        <w:spacing w:before="11"/>
        <w:ind w:left="29"/>
        <w:jc w:val="both"/>
        <w:rPr>
          <w:rFonts w:ascii="Arial" w:hAnsi="Arial" w:cs="Arial"/>
          <w:b/>
          <w:sz w:val="20"/>
          <w:szCs w:val="20"/>
        </w:rPr>
      </w:pPr>
    </w:p>
    <w:p w14:paraId="6BCC8199" w14:textId="77777777" w:rsidR="00CA7A3E" w:rsidRDefault="00CA7A3E" w:rsidP="00CA7A3E">
      <w:pPr>
        <w:jc w:val="center"/>
        <w:rPr>
          <w:rFonts w:ascii="Arial" w:hAnsi="Arial" w:cs="Arial"/>
          <w:b/>
          <w:bCs/>
          <w:sz w:val="20"/>
          <w:szCs w:val="20"/>
          <w:lang w:val="es-MX"/>
        </w:rPr>
      </w:pPr>
      <w:r w:rsidRPr="00212488">
        <w:rPr>
          <w:rFonts w:ascii="Arial" w:hAnsi="Arial" w:cs="Arial"/>
          <w:b/>
          <w:bCs/>
          <w:sz w:val="20"/>
          <w:szCs w:val="20"/>
          <w:lang w:val="es-MX"/>
        </w:rPr>
        <w:t>COMUNICACIÓN INTERNA</w:t>
      </w:r>
    </w:p>
    <w:p w14:paraId="493081A6" w14:textId="77777777" w:rsidR="00F73EEE" w:rsidRDefault="00F73EEE" w:rsidP="000678D8">
      <w:pPr>
        <w:pStyle w:val="TableParagraph"/>
        <w:spacing w:before="3"/>
        <w:jc w:val="both"/>
        <w:rPr>
          <w:rFonts w:ascii="Arial" w:hAnsi="Arial" w:cs="Arial"/>
          <w:sz w:val="20"/>
          <w:szCs w:val="20"/>
        </w:rPr>
      </w:pPr>
    </w:p>
    <w:p w14:paraId="0F51F90F" w14:textId="4414E89E" w:rsidR="00FA4765" w:rsidRPr="006A6AC9" w:rsidRDefault="00FA4765" w:rsidP="00FA4765">
      <w:pPr>
        <w:jc w:val="center"/>
        <w:rPr>
          <w:rFonts w:ascii="Arial" w:hAnsi="Arial" w:cs="Arial"/>
          <w:b/>
          <w:bCs/>
          <w:sz w:val="20"/>
          <w:szCs w:val="20"/>
          <w:lang w:val="es-MX"/>
        </w:rPr>
      </w:pPr>
      <w:r w:rsidRPr="006A6AC9">
        <w:rPr>
          <w:rFonts w:ascii="Arial" w:hAnsi="Arial" w:cs="Arial"/>
          <w:b/>
          <w:bCs/>
          <w:sz w:val="20"/>
          <w:szCs w:val="20"/>
          <w:lang w:val="es-MX"/>
        </w:rPr>
        <w:t>INFORME DE SEGURIDAD</w:t>
      </w:r>
      <w:r>
        <w:rPr>
          <w:rFonts w:ascii="Arial" w:hAnsi="Arial" w:cs="Arial"/>
          <w:b/>
          <w:bCs/>
          <w:sz w:val="20"/>
          <w:szCs w:val="20"/>
          <w:lang w:val="es-MX"/>
        </w:rPr>
        <w:t xml:space="preserve"> PARA LLAMADO A REVISIÓN DE OFICIO</w:t>
      </w:r>
      <w:r w:rsidRPr="006A6AC9">
        <w:rPr>
          <w:rFonts w:ascii="Arial" w:hAnsi="Arial" w:cs="Arial"/>
          <w:b/>
          <w:bCs/>
          <w:sz w:val="20"/>
          <w:szCs w:val="20"/>
          <w:lang w:val="es-MX"/>
        </w:rPr>
        <w:t xml:space="preserve"> SOBRE </w:t>
      </w:r>
      <w:r w:rsidRPr="00FA4765">
        <w:rPr>
          <w:rFonts w:ascii="Arial" w:hAnsi="Arial" w:cs="Arial"/>
          <w:b/>
          <w:bCs/>
          <w:sz w:val="20"/>
          <w:szCs w:val="20"/>
          <w:lang w:val="es-MX"/>
        </w:rPr>
        <w:t>EL PRINCIPIO ACTIVO CLINDAMICINA Y SU ASOCIACIÓN CON RIESGO DE LESIÓN RENAL AGUDA</w:t>
      </w:r>
    </w:p>
    <w:p w14:paraId="1F90C13D" w14:textId="77777777" w:rsidR="00FA4765" w:rsidRDefault="00FA4765" w:rsidP="000678D8">
      <w:pPr>
        <w:pStyle w:val="TableParagraph"/>
        <w:spacing w:before="3"/>
        <w:jc w:val="both"/>
        <w:rPr>
          <w:rFonts w:ascii="Arial" w:hAnsi="Arial" w:cs="Arial"/>
          <w:sz w:val="20"/>
          <w:szCs w:val="20"/>
        </w:rPr>
      </w:pPr>
    </w:p>
    <w:p w14:paraId="24F0B94F" w14:textId="77777777" w:rsidR="00CA7A3E" w:rsidRPr="007A2115" w:rsidRDefault="00CA7A3E" w:rsidP="000678D8">
      <w:pPr>
        <w:pStyle w:val="TableParagraph"/>
        <w:spacing w:before="3"/>
        <w:jc w:val="both"/>
        <w:rPr>
          <w:rFonts w:ascii="Arial" w:hAnsi="Arial" w:cs="Arial"/>
          <w:sz w:val="20"/>
          <w:szCs w:val="20"/>
        </w:rPr>
      </w:pPr>
    </w:p>
    <w:p w14:paraId="592C602D" w14:textId="77777777" w:rsidR="00CA7A3E" w:rsidRPr="006A6AC9" w:rsidRDefault="00CA7A3E" w:rsidP="00CA7A3E">
      <w:pPr>
        <w:pStyle w:val="TableParagraph"/>
        <w:spacing w:before="3"/>
        <w:jc w:val="both"/>
        <w:rPr>
          <w:rFonts w:ascii="Arial" w:hAnsi="Arial" w:cs="Arial"/>
          <w:sz w:val="20"/>
          <w:szCs w:val="20"/>
        </w:rPr>
      </w:pPr>
      <w:r w:rsidRPr="006A6AC9">
        <w:rPr>
          <w:rFonts w:ascii="Arial" w:hAnsi="Arial" w:cs="Arial"/>
          <w:sz w:val="20"/>
          <w:szCs w:val="20"/>
        </w:rPr>
        <w:t>Bogotá D.C.</w:t>
      </w:r>
      <w:r>
        <w:rPr>
          <w:rFonts w:ascii="Arial" w:hAnsi="Arial" w:cs="Arial"/>
          <w:sz w:val="20"/>
          <w:szCs w:val="20"/>
        </w:rPr>
        <w:t xml:space="preserve"> mayo 2023</w:t>
      </w:r>
    </w:p>
    <w:p w14:paraId="167295C9" w14:textId="77777777" w:rsidR="00CA7A3E" w:rsidRDefault="00CA7A3E" w:rsidP="00CA7A3E">
      <w:pPr>
        <w:pStyle w:val="TableParagraph"/>
        <w:spacing w:before="11"/>
        <w:jc w:val="both"/>
        <w:rPr>
          <w:rFonts w:ascii="Arial" w:hAnsi="Arial" w:cs="Arial"/>
          <w:b/>
          <w:sz w:val="20"/>
          <w:szCs w:val="20"/>
        </w:rPr>
      </w:pPr>
    </w:p>
    <w:p w14:paraId="0EEACFDB" w14:textId="77777777" w:rsidR="00BC26FC" w:rsidRPr="007A2115" w:rsidRDefault="00BC26FC" w:rsidP="00BC26FC">
      <w:pPr>
        <w:pStyle w:val="TableParagraph"/>
        <w:spacing w:before="11"/>
        <w:jc w:val="both"/>
        <w:rPr>
          <w:rFonts w:ascii="Arial" w:hAnsi="Arial" w:cs="Arial"/>
          <w:b/>
          <w:sz w:val="20"/>
          <w:szCs w:val="20"/>
        </w:rPr>
      </w:pPr>
    </w:p>
    <w:p w14:paraId="623871C4" w14:textId="77777777" w:rsidR="00345243" w:rsidRPr="007A2115" w:rsidRDefault="00345243" w:rsidP="00BC26FC">
      <w:pPr>
        <w:pStyle w:val="TableParagraph"/>
        <w:spacing w:before="11"/>
        <w:jc w:val="both"/>
        <w:rPr>
          <w:rFonts w:ascii="Arial" w:hAnsi="Arial" w:cs="Arial"/>
          <w:b/>
          <w:sz w:val="20"/>
          <w:szCs w:val="20"/>
        </w:rPr>
      </w:pPr>
    </w:p>
    <w:p w14:paraId="5D46FC51" w14:textId="1471E113" w:rsidR="000678D8" w:rsidRPr="007A2115" w:rsidRDefault="000678D8" w:rsidP="00245E03">
      <w:pPr>
        <w:pStyle w:val="TableParagraph"/>
        <w:spacing w:before="3" w:line="242" w:lineRule="auto"/>
        <w:ind w:left="1701" w:right="1070" w:hanging="1701"/>
        <w:jc w:val="both"/>
        <w:rPr>
          <w:rFonts w:ascii="Arial" w:hAnsi="Arial" w:cs="Arial"/>
          <w:b/>
          <w:spacing w:val="-3"/>
          <w:sz w:val="20"/>
          <w:szCs w:val="20"/>
        </w:rPr>
      </w:pPr>
      <w:r w:rsidRPr="007A2115">
        <w:rPr>
          <w:rFonts w:ascii="Arial" w:hAnsi="Arial" w:cs="Arial"/>
          <w:b/>
          <w:spacing w:val="-1"/>
          <w:sz w:val="20"/>
          <w:szCs w:val="20"/>
        </w:rPr>
        <w:t>PARA:</w:t>
      </w:r>
      <w:r w:rsidRPr="007A2115">
        <w:rPr>
          <w:rFonts w:ascii="Arial" w:hAnsi="Arial" w:cs="Arial"/>
          <w:b/>
          <w:spacing w:val="-3"/>
          <w:sz w:val="20"/>
          <w:szCs w:val="20"/>
        </w:rPr>
        <w:t xml:space="preserve"> </w:t>
      </w:r>
      <w:r w:rsidR="00245E03">
        <w:rPr>
          <w:rFonts w:ascii="Arial" w:hAnsi="Arial" w:cs="Arial"/>
          <w:b/>
          <w:spacing w:val="-3"/>
          <w:sz w:val="20"/>
          <w:szCs w:val="20"/>
        </w:rPr>
        <w:t xml:space="preserve">        </w:t>
      </w:r>
      <w:r w:rsidR="00FA4765">
        <w:rPr>
          <w:rFonts w:ascii="Arial" w:hAnsi="Arial" w:cs="Arial"/>
          <w:b/>
          <w:spacing w:val="-3"/>
          <w:sz w:val="20"/>
          <w:szCs w:val="20"/>
        </w:rPr>
        <w:tab/>
      </w:r>
      <w:r w:rsidR="00CA7A3E" w:rsidRPr="008803CD">
        <w:rPr>
          <w:rFonts w:ascii="Arial" w:hAnsi="Arial" w:cs="Arial"/>
          <w:b/>
          <w:bCs/>
          <w:sz w:val="20"/>
          <w:szCs w:val="20"/>
        </w:rPr>
        <w:t xml:space="preserve">GRUPOS DE REGISTRO SANITARIO DE </w:t>
      </w:r>
      <w:r w:rsidR="00FA4765">
        <w:rPr>
          <w:rFonts w:ascii="Arial" w:hAnsi="Arial" w:cs="Arial"/>
          <w:b/>
          <w:bCs/>
          <w:sz w:val="20"/>
          <w:szCs w:val="20"/>
        </w:rPr>
        <w:t>FABRICACIÓN NACIONAL E IMPORTADOS</w:t>
      </w:r>
      <w:r w:rsidR="00CA7A3E" w:rsidRPr="008803CD">
        <w:rPr>
          <w:rFonts w:ascii="Arial" w:hAnsi="Arial" w:cs="Arial"/>
          <w:b/>
          <w:bCs/>
          <w:sz w:val="20"/>
          <w:szCs w:val="20"/>
        </w:rPr>
        <w:t>.</w:t>
      </w:r>
    </w:p>
    <w:p w14:paraId="56CC2D85" w14:textId="77777777" w:rsidR="00E62889" w:rsidRPr="007A2115" w:rsidRDefault="00E62889" w:rsidP="00E62889">
      <w:pPr>
        <w:pStyle w:val="TableParagraph"/>
        <w:spacing w:before="3" w:line="242" w:lineRule="auto"/>
        <w:ind w:right="1070"/>
        <w:jc w:val="both"/>
        <w:rPr>
          <w:rFonts w:ascii="Arial" w:hAnsi="Arial" w:cs="Arial"/>
          <w:sz w:val="20"/>
          <w:szCs w:val="20"/>
        </w:rPr>
      </w:pPr>
    </w:p>
    <w:p w14:paraId="074A9C3A" w14:textId="2AB6CF15" w:rsidR="000678D8" w:rsidRPr="007A2115" w:rsidRDefault="000678D8" w:rsidP="002B3E56">
      <w:pPr>
        <w:pStyle w:val="TableParagraph"/>
        <w:spacing w:before="2"/>
        <w:ind w:left="1701" w:hanging="1701"/>
        <w:jc w:val="both"/>
        <w:rPr>
          <w:rFonts w:ascii="Arial" w:hAnsi="Arial" w:cs="Arial"/>
          <w:sz w:val="20"/>
          <w:szCs w:val="20"/>
        </w:rPr>
      </w:pPr>
      <w:r w:rsidRPr="007A2115">
        <w:rPr>
          <w:rFonts w:ascii="Arial" w:hAnsi="Arial" w:cs="Arial"/>
          <w:b/>
          <w:sz w:val="20"/>
          <w:szCs w:val="20"/>
        </w:rPr>
        <w:t>DE:</w:t>
      </w:r>
      <w:r w:rsidR="006A1A4A" w:rsidRPr="007A2115">
        <w:rPr>
          <w:rFonts w:ascii="Arial" w:hAnsi="Arial" w:cs="Arial"/>
          <w:b/>
          <w:sz w:val="20"/>
          <w:szCs w:val="20"/>
        </w:rPr>
        <w:t xml:space="preserve"> </w:t>
      </w:r>
      <w:r w:rsidR="002B3E56">
        <w:rPr>
          <w:rFonts w:ascii="Arial" w:hAnsi="Arial" w:cs="Arial"/>
          <w:b/>
          <w:sz w:val="20"/>
          <w:szCs w:val="20"/>
        </w:rPr>
        <w:t xml:space="preserve">                      </w:t>
      </w:r>
      <w:r w:rsidR="00FA4765">
        <w:rPr>
          <w:rFonts w:ascii="Arial" w:hAnsi="Arial" w:cs="Arial"/>
          <w:b/>
          <w:sz w:val="20"/>
          <w:szCs w:val="20"/>
        </w:rPr>
        <w:t xml:space="preserve"> </w:t>
      </w:r>
      <w:r w:rsidR="00E62889" w:rsidRPr="007A2115">
        <w:rPr>
          <w:rFonts w:ascii="Arial" w:hAnsi="Arial" w:cs="Arial"/>
          <w:b/>
          <w:sz w:val="20"/>
          <w:szCs w:val="20"/>
        </w:rPr>
        <w:t>GRUPO DE FARMACOVIGILANCIA</w:t>
      </w:r>
    </w:p>
    <w:p w14:paraId="401490F7" w14:textId="77777777" w:rsidR="00BC26FC" w:rsidRPr="007A2115" w:rsidRDefault="00BC26FC" w:rsidP="00E62889">
      <w:pPr>
        <w:jc w:val="both"/>
        <w:rPr>
          <w:rFonts w:ascii="Arial" w:hAnsi="Arial" w:cs="Arial"/>
          <w:b/>
          <w:sz w:val="20"/>
          <w:szCs w:val="20"/>
        </w:rPr>
      </w:pPr>
    </w:p>
    <w:p w14:paraId="679629BA" w14:textId="26271428" w:rsidR="0051322F" w:rsidRPr="007A2115" w:rsidRDefault="000678D8" w:rsidP="00545453">
      <w:pPr>
        <w:ind w:left="1701" w:hanging="1701"/>
        <w:jc w:val="both"/>
        <w:rPr>
          <w:rFonts w:ascii="Arial" w:hAnsi="Arial" w:cs="Arial"/>
          <w:color w:val="000000"/>
          <w:sz w:val="20"/>
          <w:szCs w:val="20"/>
        </w:rPr>
      </w:pPr>
      <w:r w:rsidRPr="007A2115">
        <w:rPr>
          <w:rFonts w:ascii="Arial" w:hAnsi="Arial" w:cs="Arial"/>
          <w:b/>
          <w:sz w:val="20"/>
          <w:szCs w:val="20"/>
        </w:rPr>
        <w:t>ASUNTO:</w:t>
      </w:r>
      <w:r w:rsidR="00FA4765">
        <w:rPr>
          <w:rFonts w:ascii="Arial" w:hAnsi="Arial" w:cs="Arial"/>
          <w:spacing w:val="-2"/>
          <w:sz w:val="20"/>
          <w:szCs w:val="20"/>
        </w:rPr>
        <w:tab/>
      </w:r>
      <w:r w:rsidR="00B41CD1" w:rsidRPr="007A2115">
        <w:rPr>
          <w:rFonts w:ascii="Arial" w:hAnsi="Arial" w:cs="Arial"/>
          <w:color w:val="000000"/>
          <w:sz w:val="20"/>
          <w:szCs w:val="20"/>
        </w:rPr>
        <w:t>Información de seguridad sobre el principio activo clindamicina y su asociación con riesgo</w:t>
      </w:r>
      <w:r w:rsidR="00097F5A" w:rsidRPr="007A2115">
        <w:rPr>
          <w:rFonts w:ascii="Arial" w:hAnsi="Arial" w:cs="Arial"/>
          <w:color w:val="000000"/>
          <w:sz w:val="20"/>
          <w:szCs w:val="20"/>
        </w:rPr>
        <w:t xml:space="preserve"> de </w:t>
      </w:r>
      <w:r w:rsidR="002F3E02">
        <w:rPr>
          <w:rFonts w:ascii="Arial" w:hAnsi="Arial" w:cs="Arial"/>
          <w:color w:val="000000"/>
          <w:sz w:val="20"/>
          <w:szCs w:val="20"/>
        </w:rPr>
        <w:t>lesión</w:t>
      </w:r>
      <w:r w:rsidR="00097F5A" w:rsidRPr="007A2115">
        <w:rPr>
          <w:rFonts w:ascii="Arial" w:hAnsi="Arial" w:cs="Arial"/>
          <w:color w:val="000000"/>
          <w:sz w:val="20"/>
          <w:szCs w:val="20"/>
        </w:rPr>
        <w:t xml:space="preserve"> renal agud</w:t>
      </w:r>
      <w:r w:rsidR="002F3E02">
        <w:rPr>
          <w:rFonts w:ascii="Arial" w:hAnsi="Arial" w:cs="Arial"/>
          <w:color w:val="000000"/>
          <w:sz w:val="20"/>
          <w:szCs w:val="20"/>
        </w:rPr>
        <w:t>a</w:t>
      </w:r>
      <w:r w:rsidR="00B41CD1" w:rsidRPr="007A2115">
        <w:rPr>
          <w:rFonts w:ascii="Arial" w:hAnsi="Arial" w:cs="Arial"/>
          <w:color w:val="000000"/>
          <w:sz w:val="20"/>
          <w:szCs w:val="20"/>
        </w:rPr>
        <w:t xml:space="preserve">. </w:t>
      </w:r>
      <w:r w:rsidR="000943E2" w:rsidRPr="007A2115">
        <w:rPr>
          <w:rFonts w:ascii="Arial" w:hAnsi="Arial" w:cs="Arial"/>
          <w:color w:val="000000"/>
          <w:sz w:val="20"/>
          <w:szCs w:val="20"/>
        </w:rPr>
        <w:t>Necesidad de realizar m</w:t>
      </w:r>
      <w:r w:rsidR="00B41CD1" w:rsidRPr="007A2115">
        <w:rPr>
          <w:rFonts w:ascii="Arial" w:hAnsi="Arial" w:cs="Arial"/>
          <w:color w:val="000000"/>
          <w:sz w:val="20"/>
          <w:szCs w:val="20"/>
        </w:rPr>
        <w:t xml:space="preserve">onitoreo de la función renal en pacientes con disfunción renal pre – existente o </w:t>
      </w:r>
      <w:r w:rsidR="00D31B08">
        <w:rPr>
          <w:rFonts w:ascii="Arial" w:hAnsi="Arial" w:cs="Arial"/>
          <w:color w:val="000000"/>
          <w:sz w:val="20"/>
          <w:szCs w:val="20"/>
        </w:rPr>
        <w:t>con</w:t>
      </w:r>
      <w:r w:rsidR="00B41CD1" w:rsidRPr="007A2115">
        <w:rPr>
          <w:rFonts w:ascii="Arial" w:hAnsi="Arial" w:cs="Arial"/>
          <w:color w:val="000000"/>
          <w:sz w:val="20"/>
          <w:szCs w:val="20"/>
        </w:rPr>
        <w:t xml:space="preserve"> medicamentos nefrotóxicos concomitantes.</w:t>
      </w:r>
    </w:p>
    <w:p w14:paraId="0ACAEB3C" w14:textId="77777777" w:rsidR="0050781E" w:rsidRDefault="0050781E" w:rsidP="000678D8">
      <w:pPr>
        <w:jc w:val="both"/>
        <w:rPr>
          <w:rFonts w:ascii="Arial" w:hAnsi="Arial" w:cs="Arial"/>
          <w:b/>
          <w:sz w:val="20"/>
          <w:szCs w:val="20"/>
        </w:rPr>
      </w:pPr>
    </w:p>
    <w:p w14:paraId="50042D9A" w14:textId="58C8F9BE" w:rsidR="000678D8" w:rsidRPr="007A2115" w:rsidRDefault="000678D8" w:rsidP="000678D8">
      <w:pPr>
        <w:jc w:val="both"/>
        <w:rPr>
          <w:rFonts w:ascii="Arial" w:hAnsi="Arial" w:cs="Arial"/>
          <w:sz w:val="20"/>
          <w:szCs w:val="20"/>
        </w:rPr>
      </w:pPr>
      <w:r w:rsidRPr="007A2115">
        <w:rPr>
          <w:rFonts w:ascii="Arial" w:hAnsi="Arial" w:cs="Arial"/>
          <w:b/>
          <w:sz w:val="20"/>
          <w:szCs w:val="20"/>
        </w:rPr>
        <w:t>RESPONSABLE:</w:t>
      </w:r>
      <w:r w:rsidRPr="007A2115">
        <w:rPr>
          <w:rFonts w:ascii="Arial" w:hAnsi="Arial" w:cs="Arial"/>
          <w:sz w:val="20"/>
          <w:szCs w:val="20"/>
        </w:rPr>
        <w:t xml:space="preserve"> </w:t>
      </w:r>
      <w:r w:rsidR="0050781E">
        <w:rPr>
          <w:rFonts w:ascii="Arial" w:hAnsi="Arial" w:cs="Arial"/>
          <w:sz w:val="20"/>
          <w:szCs w:val="20"/>
        </w:rPr>
        <w:t xml:space="preserve"> </w:t>
      </w:r>
      <w:r w:rsidR="0050781E" w:rsidRPr="0050781E">
        <w:rPr>
          <w:rFonts w:ascii="Arial" w:hAnsi="Arial" w:cs="Arial"/>
          <w:b/>
          <w:bCs/>
          <w:sz w:val="20"/>
          <w:szCs w:val="20"/>
        </w:rPr>
        <w:t>GRUPO DE FARMACOVIGILANCIA.</w:t>
      </w:r>
    </w:p>
    <w:p w14:paraId="3C16973B" w14:textId="77777777" w:rsidR="00020764" w:rsidRPr="007A2115" w:rsidRDefault="00020764" w:rsidP="000678D8">
      <w:pPr>
        <w:jc w:val="both"/>
        <w:rPr>
          <w:rFonts w:ascii="Arial" w:hAnsi="Arial" w:cs="Arial"/>
          <w:spacing w:val="-47"/>
          <w:sz w:val="20"/>
          <w:szCs w:val="20"/>
        </w:rPr>
      </w:pPr>
    </w:p>
    <w:p w14:paraId="4B564D3A" w14:textId="77777777" w:rsidR="000678D8" w:rsidRPr="007A2115" w:rsidRDefault="000678D8" w:rsidP="000678D8">
      <w:pPr>
        <w:rPr>
          <w:rFonts w:ascii="Arial" w:hAnsi="Arial" w:cs="Arial"/>
          <w:b/>
          <w:bCs/>
          <w:sz w:val="20"/>
          <w:szCs w:val="20"/>
          <w:lang w:val="es-MX"/>
        </w:rPr>
      </w:pPr>
      <w:r w:rsidRPr="007A2115">
        <w:rPr>
          <w:rFonts w:ascii="Arial" w:hAnsi="Arial" w:cs="Arial"/>
          <w:b/>
          <w:bCs/>
          <w:sz w:val="20"/>
          <w:szCs w:val="20"/>
          <w:lang w:val="es-MX"/>
        </w:rPr>
        <w:t>1. IDENTIFICACIÓN DEL PROBLEMA</w:t>
      </w:r>
    </w:p>
    <w:p w14:paraId="48DD9392" w14:textId="06CBC513" w:rsidR="000678D8" w:rsidRPr="007A2115" w:rsidRDefault="000678D8" w:rsidP="000678D8">
      <w:pPr>
        <w:rPr>
          <w:rFonts w:ascii="Arial" w:hAnsi="Arial" w:cs="Arial"/>
          <w:b/>
          <w:bCs/>
          <w:sz w:val="20"/>
          <w:szCs w:val="20"/>
          <w:lang w:val="es-MX"/>
        </w:rPr>
      </w:pPr>
      <w:r w:rsidRPr="007A2115">
        <w:rPr>
          <w:rFonts w:ascii="Arial" w:hAnsi="Arial" w:cs="Arial"/>
          <w:b/>
          <w:bCs/>
          <w:sz w:val="20"/>
          <w:szCs w:val="20"/>
          <w:lang w:val="es-MX"/>
        </w:rPr>
        <w:t>1.1</w:t>
      </w:r>
      <w:r w:rsidRPr="007A2115">
        <w:rPr>
          <w:rFonts w:ascii="Arial" w:hAnsi="Arial" w:cs="Arial"/>
          <w:b/>
          <w:bCs/>
          <w:sz w:val="20"/>
          <w:szCs w:val="20"/>
          <w:lang w:val="es-MX"/>
        </w:rPr>
        <w:tab/>
        <w:t>DESCRIPCION:</w:t>
      </w:r>
    </w:p>
    <w:p w14:paraId="57BA9860" w14:textId="77777777" w:rsidR="00E41C9A" w:rsidRPr="007A2115" w:rsidRDefault="00CD5F9C" w:rsidP="000671C4">
      <w:pPr>
        <w:jc w:val="both"/>
        <w:rPr>
          <w:rFonts w:ascii="Arial" w:hAnsi="Arial" w:cs="Arial"/>
          <w:sz w:val="20"/>
          <w:szCs w:val="20"/>
          <w:lang w:val="es-MX"/>
        </w:rPr>
      </w:pPr>
      <w:r w:rsidRPr="007A2115">
        <w:rPr>
          <w:rFonts w:ascii="Arial" w:hAnsi="Arial" w:cs="Arial"/>
          <w:sz w:val="20"/>
          <w:szCs w:val="20"/>
          <w:lang w:val="es-MX"/>
        </w:rPr>
        <w:t>Desde el Pharmacovigilance</w:t>
      </w:r>
      <w:r w:rsidRPr="007A2115">
        <w:rPr>
          <w:rFonts w:ascii="Arial" w:hAnsi="Arial" w:cs="Arial"/>
          <w:sz w:val="20"/>
          <w:szCs w:val="20"/>
        </w:rPr>
        <w:t xml:space="preserve"> Risk Assessment Committee (</w:t>
      </w:r>
      <w:r w:rsidRPr="007A2115">
        <w:rPr>
          <w:rFonts w:ascii="Arial" w:hAnsi="Arial" w:cs="Arial"/>
          <w:sz w:val="20"/>
          <w:szCs w:val="20"/>
          <w:lang w:val="es-MX"/>
        </w:rPr>
        <w:t>PRAC</w:t>
      </w:r>
      <w:r w:rsidR="00994BD8" w:rsidRPr="007A2115">
        <w:rPr>
          <w:rFonts w:ascii="Arial" w:hAnsi="Arial" w:cs="Arial"/>
          <w:sz w:val="20"/>
          <w:szCs w:val="20"/>
          <w:lang w:val="es-MX"/>
        </w:rPr>
        <w:t>) del 3 – 6 de mayo del 2021</w:t>
      </w:r>
      <w:r w:rsidR="00A96D56" w:rsidRPr="007A2115">
        <w:rPr>
          <w:rFonts w:ascii="Arial" w:hAnsi="Arial" w:cs="Arial"/>
          <w:sz w:val="20"/>
          <w:szCs w:val="20"/>
          <w:lang w:val="es-MX"/>
        </w:rPr>
        <w:t>,</w:t>
      </w:r>
      <w:r w:rsidR="00994BD8" w:rsidRPr="007A2115">
        <w:rPr>
          <w:rFonts w:ascii="Arial" w:hAnsi="Arial" w:cs="Arial"/>
          <w:sz w:val="20"/>
          <w:szCs w:val="20"/>
          <w:lang w:val="es-MX"/>
        </w:rPr>
        <w:t xml:space="preserve"> se </w:t>
      </w:r>
      <w:r w:rsidR="00A96D56" w:rsidRPr="007A2115">
        <w:rPr>
          <w:rFonts w:ascii="Arial" w:hAnsi="Arial" w:cs="Arial"/>
          <w:sz w:val="20"/>
          <w:szCs w:val="20"/>
          <w:lang w:val="es-MX"/>
        </w:rPr>
        <w:t>emitió información de seguridad importante para el principio activo clindamicina</w:t>
      </w:r>
      <w:r w:rsidR="000671C4" w:rsidRPr="007A2115">
        <w:rPr>
          <w:rFonts w:ascii="Arial" w:hAnsi="Arial" w:cs="Arial"/>
          <w:sz w:val="20"/>
          <w:szCs w:val="20"/>
          <w:lang w:val="es-MX"/>
        </w:rPr>
        <w:t xml:space="preserve">, conforme a </w:t>
      </w:r>
      <w:r w:rsidR="00062A16" w:rsidRPr="007A2115">
        <w:rPr>
          <w:rFonts w:ascii="Arial" w:hAnsi="Arial" w:cs="Arial"/>
          <w:sz w:val="20"/>
          <w:szCs w:val="20"/>
          <w:lang w:val="es-MX"/>
        </w:rPr>
        <w:t>evidencia</w:t>
      </w:r>
      <w:r w:rsidR="000671C4" w:rsidRPr="007A2115">
        <w:rPr>
          <w:rFonts w:ascii="Arial" w:hAnsi="Arial" w:cs="Arial"/>
          <w:sz w:val="20"/>
          <w:szCs w:val="20"/>
          <w:lang w:val="es-MX"/>
        </w:rPr>
        <w:t xml:space="preserve"> disponible en EudraVigilance, literatura y datos sometidos por la farmacéutica Pfizer</w:t>
      </w:r>
      <w:r w:rsidR="00E41C9A" w:rsidRPr="007A2115">
        <w:rPr>
          <w:rFonts w:ascii="Arial" w:hAnsi="Arial" w:cs="Arial"/>
          <w:sz w:val="20"/>
          <w:szCs w:val="20"/>
          <w:lang w:val="es-MX"/>
        </w:rPr>
        <w:t xml:space="preserve">. </w:t>
      </w:r>
    </w:p>
    <w:p w14:paraId="56F23BF6" w14:textId="0C1DC4F1" w:rsidR="00C06039" w:rsidRPr="007A2115" w:rsidRDefault="00E41C9A" w:rsidP="000671C4">
      <w:pPr>
        <w:jc w:val="both"/>
        <w:rPr>
          <w:rFonts w:ascii="Arial" w:hAnsi="Arial" w:cs="Arial"/>
          <w:sz w:val="20"/>
          <w:szCs w:val="20"/>
          <w:lang w:val="es-MX"/>
        </w:rPr>
      </w:pPr>
      <w:r w:rsidRPr="007A2115">
        <w:rPr>
          <w:rFonts w:ascii="Arial" w:hAnsi="Arial" w:cs="Arial"/>
          <w:sz w:val="20"/>
          <w:szCs w:val="20"/>
          <w:lang w:val="es-MX"/>
        </w:rPr>
        <w:t xml:space="preserve">Como resultado, el PRAC requirió </w:t>
      </w:r>
      <w:r w:rsidR="006B68CC" w:rsidRPr="007A2115">
        <w:rPr>
          <w:rFonts w:ascii="Arial" w:hAnsi="Arial" w:cs="Arial"/>
          <w:sz w:val="20"/>
          <w:szCs w:val="20"/>
          <w:lang w:val="es-MX"/>
        </w:rPr>
        <w:t>realizar la inclusión de la siguiente información de seguridad en el documento “Resumen de características de producto”, para todos los titulares que tiene productos que contengan clindamicina</w:t>
      </w:r>
      <w:r w:rsidR="00876FD1" w:rsidRPr="007A2115">
        <w:rPr>
          <w:rFonts w:ascii="Arial" w:hAnsi="Arial" w:cs="Arial"/>
          <w:sz w:val="20"/>
          <w:szCs w:val="20"/>
          <w:lang w:val="es-MX"/>
        </w:rPr>
        <w:t>,</w:t>
      </w:r>
      <w:r w:rsidR="006B68CC" w:rsidRPr="007A2115">
        <w:rPr>
          <w:rFonts w:ascii="Arial" w:hAnsi="Arial" w:cs="Arial"/>
          <w:sz w:val="20"/>
          <w:szCs w:val="20"/>
          <w:lang w:val="es-MX"/>
        </w:rPr>
        <w:t xml:space="preserve"> para administración sistémica</w:t>
      </w:r>
      <w:r w:rsidRPr="007A2115">
        <w:rPr>
          <w:rFonts w:ascii="Arial" w:hAnsi="Arial" w:cs="Arial"/>
          <w:sz w:val="20"/>
          <w:szCs w:val="20"/>
          <w:lang w:val="es-MX"/>
        </w:rPr>
        <w:t xml:space="preserve">: </w:t>
      </w:r>
    </w:p>
    <w:p w14:paraId="6D191881" w14:textId="1915B4F3" w:rsidR="00FD7791" w:rsidRPr="007A2115" w:rsidRDefault="00FD7791" w:rsidP="000671C4">
      <w:pPr>
        <w:jc w:val="both"/>
        <w:rPr>
          <w:rFonts w:ascii="Arial" w:hAnsi="Arial" w:cs="Arial"/>
          <w:sz w:val="20"/>
          <w:szCs w:val="20"/>
          <w:lang w:val="es-MX"/>
        </w:rPr>
      </w:pPr>
      <w:r w:rsidRPr="007A2115">
        <w:rPr>
          <w:rFonts w:ascii="Arial" w:hAnsi="Arial" w:cs="Arial"/>
          <w:sz w:val="20"/>
          <w:szCs w:val="20"/>
          <w:lang w:val="es-MX"/>
        </w:rPr>
        <w:t>Resumen de características del producto:</w:t>
      </w:r>
    </w:p>
    <w:p w14:paraId="70CB9109" w14:textId="012C5F48" w:rsidR="00FD7791" w:rsidRPr="007A2115" w:rsidRDefault="00FD7791" w:rsidP="000671C4">
      <w:pPr>
        <w:jc w:val="both"/>
        <w:rPr>
          <w:rFonts w:ascii="Arial" w:hAnsi="Arial" w:cs="Arial"/>
          <w:sz w:val="20"/>
          <w:szCs w:val="20"/>
          <w:lang w:val="es-MX"/>
        </w:rPr>
      </w:pPr>
      <w:r w:rsidRPr="007A2115">
        <w:rPr>
          <w:rFonts w:ascii="Arial" w:hAnsi="Arial" w:cs="Arial"/>
          <w:sz w:val="20"/>
          <w:szCs w:val="20"/>
          <w:lang w:val="es-MX"/>
        </w:rPr>
        <w:t>4.4. Advertencias especiales y precauciones de uso:</w:t>
      </w:r>
    </w:p>
    <w:p w14:paraId="4212EB4B" w14:textId="1CFBAD72" w:rsidR="005C788D" w:rsidRPr="007A2115" w:rsidRDefault="00E41C9A" w:rsidP="000671C4">
      <w:pPr>
        <w:jc w:val="both"/>
        <w:rPr>
          <w:rFonts w:ascii="Arial" w:hAnsi="Arial" w:cs="Arial"/>
          <w:sz w:val="20"/>
          <w:szCs w:val="20"/>
          <w:lang w:val="es-MX"/>
        </w:rPr>
      </w:pPr>
      <w:r w:rsidRPr="007A2115">
        <w:rPr>
          <w:rFonts w:ascii="Arial" w:hAnsi="Arial" w:cs="Arial"/>
          <w:sz w:val="20"/>
          <w:szCs w:val="20"/>
          <w:lang w:val="es-MX"/>
        </w:rPr>
        <w:t>“</w:t>
      </w:r>
      <w:r w:rsidR="005C788D" w:rsidRPr="007A2115">
        <w:rPr>
          <w:rFonts w:ascii="Arial" w:hAnsi="Arial" w:cs="Arial"/>
          <w:sz w:val="20"/>
          <w:szCs w:val="20"/>
          <w:lang w:val="es-MX"/>
        </w:rPr>
        <w:t xml:space="preserve">Si la </w:t>
      </w:r>
      <w:r w:rsidRPr="007A2115">
        <w:rPr>
          <w:rFonts w:ascii="Arial" w:hAnsi="Arial" w:cs="Arial"/>
          <w:sz w:val="20"/>
          <w:szCs w:val="20"/>
          <w:lang w:val="es-MX"/>
        </w:rPr>
        <w:t xml:space="preserve">terapia es prolongada, se deben realizar pruebas de función </w:t>
      </w:r>
      <w:r w:rsidR="00E027B8" w:rsidRPr="007A2115">
        <w:rPr>
          <w:rFonts w:ascii="Arial" w:hAnsi="Arial" w:cs="Arial"/>
          <w:sz w:val="20"/>
          <w:szCs w:val="20"/>
          <w:lang w:val="es-MX"/>
        </w:rPr>
        <w:t>hepática y renal.</w:t>
      </w:r>
    </w:p>
    <w:p w14:paraId="7E39B811" w14:textId="4889513B" w:rsidR="00004C0F" w:rsidRPr="007A2115" w:rsidRDefault="009620EB" w:rsidP="000671C4">
      <w:pPr>
        <w:jc w:val="both"/>
        <w:rPr>
          <w:rFonts w:ascii="Arial" w:hAnsi="Arial" w:cs="Arial"/>
          <w:sz w:val="20"/>
          <w:szCs w:val="20"/>
          <w:lang w:val="es-MX"/>
        </w:rPr>
      </w:pPr>
      <w:r w:rsidRPr="007A2115">
        <w:rPr>
          <w:rFonts w:ascii="Arial" w:hAnsi="Arial" w:cs="Arial"/>
          <w:sz w:val="20"/>
          <w:szCs w:val="20"/>
          <w:lang w:val="es-MX"/>
        </w:rPr>
        <w:t xml:space="preserve">Se han reportado casos poco frecuentes de </w:t>
      </w:r>
      <w:r w:rsidR="002F3E02">
        <w:rPr>
          <w:rFonts w:ascii="Arial" w:hAnsi="Arial" w:cs="Arial"/>
          <w:color w:val="000000"/>
          <w:sz w:val="20"/>
          <w:szCs w:val="20"/>
        </w:rPr>
        <w:t>lesión</w:t>
      </w:r>
      <w:r w:rsidR="002F3E02" w:rsidRPr="007A2115">
        <w:rPr>
          <w:rFonts w:ascii="Arial" w:hAnsi="Arial" w:cs="Arial"/>
          <w:color w:val="000000"/>
          <w:sz w:val="20"/>
          <w:szCs w:val="20"/>
        </w:rPr>
        <w:t xml:space="preserve"> renal agud</w:t>
      </w:r>
      <w:r w:rsidR="002F3E02">
        <w:rPr>
          <w:rFonts w:ascii="Arial" w:hAnsi="Arial" w:cs="Arial"/>
          <w:color w:val="000000"/>
          <w:sz w:val="20"/>
          <w:szCs w:val="20"/>
        </w:rPr>
        <w:t>a</w:t>
      </w:r>
      <w:r w:rsidR="00004C0F" w:rsidRPr="007A2115">
        <w:rPr>
          <w:rFonts w:ascii="Arial" w:hAnsi="Arial" w:cs="Arial"/>
          <w:sz w:val="20"/>
          <w:szCs w:val="20"/>
          <w:lang w:val="es-MX"/>
        </w:rPr>
        <w:t xml:space="preserve">, incluyendo </w:t>
      </w:r>
      <w:r w:rsidR="00126A89">
        <w:rPr>
          <w:rFonts w:ascii="Arial" w:hAnsi="Arial" w:cs="Arial"/>
          <w:sz w:val="20"/>
          <w:szCs w:val="20"/>
          <w:lang w:val="es-MX"/>
        </w:rPr>
        <w:t>Insuficiencia</w:t>
      </w:r>
      <w:r w:rsidR="00004C0F" w:rsidRPr="007A2115">
        <w:rPr>
          <w:rFonts w:ascii="Arial" w:hAnsi="Arial" w:cs="Arial"/>
          <w:sz w:val="20"/>
          <w:szCs w:val="20"/>
          <w:lang w:val="es-MX"/>
        </w:rPr>
        <w:t xml:space="preserve"> renal aguda</w:t>
      </w:r>
      <w:r w:rsidR="00D31B08">
        <w:rPr>
          <w:rFonts w:ascii="Arial" w:hAnsi="Arial" w:cs="Arial"/>
          <w:sz w:val="20"/>
          <w:szCs w:val="20"/>
          <w:lang w:val="es-MX"/>
        </w:rPr>
        <w:t>,</w:t>
      </w:r>
      <w:r w:rsidR="00004C0F" w:rsidRPr="007A2115">
        <w:rPr>
          <w:rFonts w:ascii="Arial" w:hAnsi="Arial" w:cs="Arial"/>
          <w:sz w:val="20"/>
          <w:szCs w:val="20"/>
          <w:lang w:val="es-MX"/>
        </w:rPr>
        <w:t xml:space="preserve"> </w:t>
      </w:r>
      <w:r w:rsidR="00D31B08">
        <w:rPr>
          <w:rFonts w:ascii="Arial" w:hAnsi="Arial" w:cs="Arial"/>
          <w:sz w:val="20"/>
          <w:szCs w:val="20"/>
          <w:lang w:val="es-MX"/>
        </w:rPr>
        <w:t>e</w:t>
      </w:r>
      <w:r w:rsidR="00004C0F" w:rsidRPr="007A2115">
        <w:rPr>
          <w:rFonts w:ascii="Arial" w:hAnsi="Arial" w:cs="Arial"/>
          <w:sz w:val="20"/>
          <w:szCs w:val="20"/>
          <w:lang w:val="es-MX"/>
        </w:rPr>
        <w:t xml:space="preserve">n pacientes que han sido diagnosticados con disfunción renal pre </w:t>
      </w:r>
      <w:r w:rsidRPr="007A2115">
        <w:rPr>
          <w:rFonts w:ascii="Arial" w:hAnsi="Arial" w:cs="Arial"/>
          <w:sz w:val="20"/>
          <w:szCs w:val="20"/>
          <w:lang w:val="es-MX"/>
        </w:rPr>
        <w:t>–</w:t>
      </w:r>
      <w:r w:rsidR="00004C0F" w:rsidRPr="007A2115">
        <w:rPr>
          <w:rFonts w:ascii="Arial" w:hAnsi="Arial" w:cs="Arial"/>
          <w:sz w:val="20"/>
          <w:szCs w:val="20"/>
          <w:lang w:val="es-MX"/>
        </w:rPr>
        <w:t xml:space="preserve"> existente</w:t>
      </w:r>
      <w:r w:rsidRPr="007A2115">
        <w:rPr>
          <w:rFonts w:ascii="Arial" w:hAnsi="Arial" w:cs="Arial"/>
          <w:sz w:val="20"/>
          <w:szCs w:val="20"/>
          <w:lang w:val="es-MX"/>
        </w:rPr>
        <w:t xml:space="preserve"> o </w:t>
      </w:r>
      <w:r w:rsidR="00D31B08">
        <w:rPr>
          <w:rFonts w:ascii="Arial" w:hAnsi="Arial" w:cs="Arial"/>
          <w:sz w:val="20"/>
          <w:szCs w:val="20"/>
          <w:lang w:val="es-MX"/>
        </w:rPr>
        <w:t>con</w:t>
      </w:r>
      <w:r w:rsidRPr="007A2115">
        <w:rPr>
          <w:rFonts w:ascii="Arial" w:hAnsi="Arial" w:cs="Arial"/>
          <w:sz w:val="20"/>
          <w:szCs w:val="20"/>
          <w:lang w:val="es-MX"/>
        </w:rPr>
        <w:t xml:space="preserve"> medicamentos nefrotóxicos concomitantes, se debe considerar el monitoreo de la función renal”</w:t>
      </w:r>
      <w:r w:rsidR="00E56C3A" w:rsidRPr="007A2115">
        <w:rPr>
          <w:rFonts w:ascii="Arial" w:hAnsi="Arial" w:cs="Arial"/>
          <w:sz w:val="20"/>
          <w:szCs w:val="20"/>
          <w:lang w:val="es-MX"/>
        </w:rPr>
        <w:t>.</w:t>
      </w:r>
    </w:p>
    <w:p w14:paraId="65F186AC" w14:textId="0E1FE774" w:rsidR="00E56C3A" w:rsidRPr="007A2115" w:rsidRDefault="00FD7791" w:rsidP="000671C4">
      <w:pPr>
        <w:jc w:val="both"/>
        <w:rPr>
          <w:rFonts w:ascii="Arial" w:hAnsi="Arial" w:cs="Arial"/>
          <w:sz w:val="20"/>
          <w:szCs w:val="20"/>
          <w:lang w:val="es-MX"/>
        </w:rPr>
      </w:pPr>
      <w:r w:rsidRPr="007A2115">
        <w:rPr>
          <w:rFonts w:ascii="Arial" w:hAnsi="Arial" w:cs="Arial"/>
          <w:sz w:val="20"/>
          <w:szCs w:val="20"/>
          <w:lang w:val="es-MX"/>
        </w:rPr>
        <w:t xml:space="preserve">4.8 </w:t>
      </w:r>
      <w:r w:rsidR="00E56C3A" w:rsidRPr="007A2115">
        <w:rPr>
          <w:rFonts w:ascii="Arial" w:hAnsi="Arial" w:cs="Arial"/>
          <w:sz w:val="20"/>
          <w:szCs w:val="20"/>
          <w:lang w:val="es-MX"/>
        </w:rPr>
        <w:t xml:space="preserve">Efecto indeseado:  </w:t>
      </w:r>
      <w:r w:rsidR="00D31B08">
        <w:rPr>
          <w:rFonts w:ascii="Arial" w:hAnsi="Arial" w:cs="Arial"/>
          <w:sz w:val="20"/>
          <w:szCs w:val="20"/>
          <w:lang w:val="es-MX"/>
        </w:rPr>
        <w:t>Trastorno</w:t>
      </w:r>
      <w:r w:rsidR="00E56C3A" w:rsidRPr="007A2115">
        <w:rPr>
          <w:rFonts w:ascii="Arial" w:hAnsi="Arial" w:cs="Arial"/>
          <w:sz w:val="20"/>
          <w:szCs w:val="20"/>
          <w:lang w:val="es-MX"/>
        </w:rPr>
        <w:t xml:space="preserve"> renal y urinario.</w:t>
      </w:r>
    </w:p>
    <w:p w14:paraId="030D8082" w14:textId="25435E0E" w:rsidR="00E56C3A" w:rsidRPr="007A2115" w:rsidRDefault="00E56C3A" w:rsidP="000671C4">
      <w:pPr>
        <w:jc w:val="both"/>
        <w:rPr>
          <w:rFonts w:ascii="Arial" w:hAnsi="Arial" w:cs="Arial"/>
          <w:sz w:val="20"/>
          <w:szCs w:val="20"/>
          <w:lang w:val="es-MX"/>
        </w:rPr>
      </w:pPr>
      <w:r w:rsidRPr="007A2115">
        <w:rPr>
          <w:rFonts w:ascii="Arial" w:hAnsi="Arial" w:cs="Arial"/>
          <w:sz w:val="20"/>
          <w:szCs w:val="20"/>
          <w:lang w:val="es-MX"/>
        </w:rPr>
        <w:t xml:space="preserve">Frecuencia no conocida: </w:t>
      </w:r>
      <w:r w:rsidR="00DD07B7">
        <w:rPr>
          <w:rFonts w:ascii="Arial" w:hAnsi="Arial" w:cs="Arial"/>
          <w:color w:val="000000"/>
          <w:sz w:val="20"/>
          <w:szCs w:val="20"/>
        </w:rPr>
        <w:t>L</w:t>
      </w:r>
      <w:r w:rsidR="002F3E02">
        <w:rPr>
          <w:rFonts w:ascii="Arial" w:hAnsi="Arial" w:cs="Arial"/>
          <w:color w:val="000000"/>
          <w:sz w:val="20"/>
          <w:szCs w:val="20"/>
        </w:rPr>
        <w:t>esión</w:t>
      </w:r>
      <w:r w:rsidR="002F3E02" w:rsidRPr="007A2115">
        <w:rPr>
          <w:rFonts w:ascii="Arial" w:hAnsi="Arial" w:cs="Arial"/>
          <w:color w:val="000000"/>
          <w:sz w:val="20"/>
          <w:szCs w:val="20"/>
        </w:rPr>
        <w:t xml:space="preserve"> renal agud</w:t>
      </w:r>
      <w:r w:rsidR="002F3E02">
        <w:rPr>
          <w:rFonts w:ascii="Arial" w:hAnsi="Arial" w:cs="Arial"/>
          <w:color w:val="000000"/>
          <w:sz w:val="20"/>
          <w:szCs w:val="20"/>
        </w:rPr>
        <w:t>a</w:t>
      </w:r>
      <w:r w:rsidRPr="007A2115">
        <w:rPr>
          <w:rFonts w:ascii="Arial" w:hAnsi="Arial" w:cs="Arial"/>
          <w:sz w:val="20"/>
          <w:szCs w:val="20"/>
          <w:lang w:val="es-MX"/>
        </w:rPr>
        <w:t>.</w:t>
      </w:r>
    </w:p>
    <w:p w14:paraId="23E2E16B" w14:textId="7996B093" w:rsidR="0003711A" w:rsidRPr="007A2115" w:rsidRDefault="0062383E" w:rsidP="000671C4">
      <w:pPr>
        <w:jc w:val="both"/>
        <w:rPr>
          <w:rFonts w:ascii="Arial" w:hAnsi="Arial" w:cs="Arial"/>
          <w:sz w:val="20"/>
          <w:szCs w:val="20"/>
          <w:lang w:val="es-MX"/>
        </w:rPr>
      </w:pPr>
      <w:r w:rsidRPr="007A2115">
        <w:rPr>
          <w:rFonts w:ascii="Arial" w:hAnsi="Arial" w:cs="Arial"/>
          <w:sz w:val="20"/>
          <w:szCs w:val="20"/>
          <w:lang w:val="es-MX"/>
        </w:rPr>
        <w:lastRenderedPageBreak/>
        <w:t>Se realizó la revisión de diferentes agencias sanitarias, encontrando la siguiente información:</w:t>
      </w:r>
    </w:p>
    <w:p w14:paraId="3AF6B3CE" w14:textId="6497E798" w:rsidR="0062383E" w:rsidRPr="007A2115" w:rsidRDefault="0062383E" w:rsidP="000671C4">
      <w:pPr>
        <w:jc w:val="both"/>
        <w:rPr>
          <w:rFonts w:ascii="Arial" w:hAnsi="Arial" w:cs="Arial"/>
          <w:sz w:val="20"/>
          <w:szCs w:val="20"/>
          <w:lang w:val="es-MX"/>
        </w:rPr>
      </w:pPr>
      <w:r w:rsidRPr="007A2115">
        <w:rPr>
          <w:rFonts w:ascii="Arial" w:hAnsi="Arial" w:cs="Arial"/>
          <w:b/>
          <w:bCs/>
          <w:sz w:val="20"/>
          <w:szCs w:val="20"/>
          <w:lang w:val="es-MX"/>
        </w:rPr>
        <w:t>España:</w:t>
      </w:r>
      <w:r w:rsidRPr="007A2115">
        <w:rPr>
          <w:rFonts w:ascii="Arial" w:hAnsi="Arial" w:cs="Arial"/>
          <w:sz w:val="20"/>
          <w:szCs w:val="20"/>
          <w:lang w:val="es-MX"/>
        </w:rPr>
        <w:t xml:space="preserve"> Boletín mensual de seguridad AEMPS sobre medicamentos de uso humano del mes de mayo del 2021:</w:t>
      </w:r>
    </w:p>
    <w:p w14:paraId="217E1CCC" w14:textId="33D528EC" w:rsidR="0062383E" w:rsidRPr="007A2115" w:rsidRDefault="0062383E" w:rsidP="0062383E">
      <w:pPr>
        <w:jc w:val="both"/>
        <w:rPr>
          <w:rFonts w:ascii="Arial" w:hAnsi="Arial" w:cs="Arial"/>
          <w:b/>
          <w:bCs/>
          <w:sz w:val="20"/>
          <w:szCs w:val="20"/>
          <w:lang w:val="es-MX"/>
        </w:rPr>
      </w:pPr>
      <w:r w:rsidRPr="007A2115">
        <w:rPr>
          <w:rFonts w:ascii="Arial" w:hAnsi="Arial" w:cs="Arial"/>
          <w:b/>
          <w:bCs/>
          <w:sz w:val="20"/>
          <w:szCs w:val="20"/>
          <w:lang w:val="es-MX"/>
        </w:rPr>
        <w:t xml:space="preserve">Clindamicina – </w:t>
      </w:r>
      <w:r w:rsidR="00386F4D">
        <w:rPr>
          <w:rFonts w:ascii="Arial" w:hAnsi="Arial" w:cs="Arial"/>
          <w:b/>
          <w:bCs/>
          <w:sz w:val="20"/>
          <w:szCs w:val="20"/>
          <w:lang w:val="es-MX"/>
        </w:rPr>
        <w:t>Lesión</w:t>
      </w:r>
      <w:r w:rsidRPr="007A2115">
        <w:rPr>
          <w:rFonts w:ascii="Arial" w:hAnsi="Arial" w:cs="Arial"/>
          <w:b/>
          <w:bCs/>
          <w:sz w:val="20"/>
          <w:szCs w:val="20"/>
          <w:lang w:val="es-MX"/>
        </w:rPr>
        <w:t xml:space="preserve"> renal agud</w:t>
      </w:r>
      <w:r w:rsidR="007337CE">
        <w:rPr>
          <w:rFonts w:ascii="Arial" w:hAnsi="Arial" w:cs="Arial"/>
          <w:b/>
          <w:bCs/>
          <w:sz w:val="20"/>
          <w:szCs w:val="20"/>
          <w:lang w:val="es-MX"/>
        </w:rPr>
        <w:t>a</w:t>
      </w:r>
      <w:r w:rsidR="00FD7791" w:rsidRPr="007A2115">
        <w:rPr>
          <w:rFonts w:ascii="Arial" w:hAnsi="Arial" w:cs="Arial"/>
          <w:b/>
          <w:bCs/>
          <w:sz w:val="20"/>
          <w:szCs w:val="20"/>
          <w:lang w:val="es-MX"/>
        </w:rPr>
        <w:t>:</w:t>
      </w:r>
    </w:p>
    <w:p w14:paraId="69EBFA9C" w14:textId="5F584B40" w:rsidR="0062383E" w:rsidRPr="007A2115" w:rsidRDefault="002F3E02" w:rsidP="0062383E">
      <w:pPr>
        <w:jc w:val="both"/>
        <w:rPr>
          <w:rFonts w:ascii="Arial" w:hAnsi="Arial" w:cs="Arial"/>
          <w:sz w:val="20"/>
          <w:szCs w:val="20"/>
          <w:lang w:val="es-MX"/>
        </w:rPr>
      </w:pPr>
      <w:r>
        <w:rPr>
          <w:rFonts w:ascii="Arial" w:hAnsi="Arial" w:cs="Arial"/>
          <w:sz w:val="20"/>
          <w:szCs w:val="20"/>
          <w:lang w:val="es-MX"/>
        </w:rPr>
        <w:t>La</w:t>
      </w:r>
      <w:r w:rsidR="0062383E" w:rsidRPr="007A2115">
        <w:rPr>
          <w:rFonts w:ascii="Arial" w:hAnsi="Arial" w:cs="Arial"/>
          <w:sz w:val="20"/>
          <w:szCs w:val="20"/>
          <w:lang w:val="es-MX"/>
        </w:rPr>
        <w:t xml:space="preserve"> </w:t>
      </w:r>
      <w:r>
        <w:rPr>
          <w:rFonts w:ascii="Arial" w:hAnsi="Arial" w:cs="Arial"/>
          <w:color w:val="000000"/>
          <w:sz w:val="20"/>
          <w:szCs w:val="20"/>
        </w:rPr>
        <w:t>lesión</w:t>
      </w:r>
      <w:r w:rsidRPr="007A2115">
        <w:rPr>
          <w:rFonts w:ascii="Arial" w:hAnsi="Arial" w:cs="Arial"/>
          <w:color w:val="000000"/>
          <w:sz w:val="20"/>
          <w:szCs w:val="20"/>
        </w:rPr>
        <w:t xml:space="preserve"> renal agud</w:t>
      </w:r>
      <w:r>
        <w:rPr>
          <w:rFonts w:ascii="Arial" w:hAnsi="Arial" w:cs="Arial"/>
          <w:color w:val="000000"/>
          <w:sz w:val="20"/>
          <w:szCs w:val="20"/>
        </w:rPr>
        <w:t>a</w:t>
      </w:r>
      <w:r w:rsidR="0062383E" w:rsidRPr="007A2115">
        <w:rPr>
          <w:rFonts w:ascii="Arial" w:hAnsi="Arial" w:cs="Arial"/>
          <w:sz w:val="20"/>
          <w:szCs w:val="20"/>
          <w:lang w:val="es-MX"/>
        </w:rPr>
        <w:t xml:space="preserve"> (incluyendo </w:t>
      </w:r>
      <w:r w:rsidR="00BD10D9">
        <w:rPr>
          <w:rFonts w:ascii="Arial" w:hAnsi="Arial" w:cs="Arial"/>
          <w:sz w:val="20"/>
          <w:szCs w:val="20"/>
          <w:lang w:val="es-MX"/>
        </w:rPr>
        <w:t>Insuficiencia</w:t>
      </w:r>
      <w:r w:rsidR="0062383E" w:rsidRPr="007A2115">
        <w:rPr>
          <w:rFonts w:ascii="Arial" w:hAnsi="Arial" w:cs="Arial"/>
          <w:sz w:val="20"/>
          <w:szCs w:val="20"/>
          <w:lang w:val="es-MX"/>
        </w:rPr>
        <w:t xml:space="preserve"> renal agud</w:t>
      </w:r>
      <w:r w:rsidR="00BD10D9">
        <w:rPr>
          <w:rFonts w:ascii="Arial" w:hAnsi="Arial" w:cs="Arial"/>
          <w:sz w:val="20"/>
          <w:szCs w:val="20"/>
          <w:lang w:val="es-MX"/>
        </w:rPr>
        <w:t>a</w:t>
      </w:r>
      <w:r w:rsidR="0062383E" w:rsidRPr="007A2115">
        <w:rPr>
          <w:rFonts w:ascii="Arial" w:hAnsi="Arial" w:cs="Arial"/>
          <w:sz w:val="20"/>
          <w:szCs w:val="20"/>
          <w:lang w:val="es-MX"/>
        </w:rPr>
        <w:t>) se identifica como una reacción adversa poco frecuente y se recomienda la monitorización de la función renal en aquellos pacientes que reciban terapia prolongada de clindamicina, aquellos que presenten condiciones renales pre-existentes o que estén en tratamiento con fármacos nefrotóxicos.</w:t>
      </w:r>
    </w:p>
    <w:p w14:paraId="1CFA22D8" w14:textId="77777777" w:rsidR="0062383E" w:rsidRPr="007A2115" w:rsidRDefault="00000000" w:rsidP="0062383E">
      <w:pPr>
        <w:shd w:val="clear" w:color="auto" w:fill="FFFFFF"/>
        <w:spacing w:before="100" w:beforeAutospacing="1" w:after="100" w:afterAutospacing="1" w:line="240" w:lineRule="auto"/>
        <w:outlineLvl w:val="0"/>
        <w:rPr>
          <w:rFonts w:ascii="Arial" w:eastAsia="Times New Roman" w:hAnsi="Arial" w:cs="Arial"/>
          <w:b/>
          <w:bCs/>
          <w:color w:val="212121"/>
          <w:kern w:val="36"/>
          <w:sz w:val="20"/>
          <w:szCs w:val="20"/>
          <w:lang w:eastAsia="es-CO"/>
        </w:rPr>
      </w:pPr>
      <w:hyperlink r:id="rId10" w:history="1">
        <w:r w:rsidR="0062383E" w:rsidRPr="007A2115">
          <w:rPr>
            <w:rStyle w:val="Hipervnculo"/>
            <w:rFonts w:ascii="Arial" w:eastAsia="Times New Roman" w:hAnsi="Arial" w:cs="Arial"/>
            <w:b/>
            <w:bCs/>
            <w:kern w:val="36"/>
            <w:sz w:val="20"/>
            <w:szCs w:val="20"/>
            <w:lang w:eastAsia="es-CO"/>
          </w:rPr>
          <w:t>https://www.aemps.gob.es/informa/boletin-mensual-de-seguridad-de-la-aemps-sobre-medicamentos-de-uso-humano-del-mes-de-mayo-de-2021/</w:t>
        </w:r>
      </w:hyperlink>
    </w:p>
    <w:p w14:paraId="46325BD0" w14:textId="454D542E" w:rsidR="00FD7791" w:rsidRPr="007A2115" w:rsidRDefault="00FD7791" w:rsidP="000671C4">
      <w:pPr>
        <w:jc w:val="both"/>
        <w:rPr>
          <w:rFonts w:ascii="Arial" w:hAnsi="Arial" w:cs="Arial"/>
          <w:sz w:val="20"/>
          <w:szCs w:val="20"/>
          <w:lang w:val="es-MX"/>
        </w:rPr>
      </w:pPr>
      <w:r w:rsidRPr="007A2115">
        <w:rPr>
          <w:rFonts w:ascii="Arial" w:hAnsi="Arial" w:cs="Arial"/>
          <w:b/>
          <w:bCs/>
          <w:sz w:val="20"/>
          <w:szCs w:val="20"/>
          <w:lang w:val="es-MX"/>
        </w:rPr>
        <w:t>Therapeutic Goods Administration -TGA Australia:</w:t>
      </w:r>
      <w:r w:rsidRPr="007A2115">
        <w:rPr>
          <w:rFonts w:ascii="Arial" w:hAnsi="Arial" w:cs="Arial"/>
          <w:sz w:val="20"/>
          <w:szCs w:val="20"/>
          <w:lang w:val="es-MX"/>
        </w:rPr>
        <w:t xml:space="preserve"> Actualización de seguridad de medicamentos - 3 de febrero del 2022.</w:t>
      </w:r>
    </w:p>
    <w:p w14:paraId="42A34180" w14:textId="2E83491A" w:rsidR="00FD7791" w:rsidRPr="007A2115" w:rsidRDefault="00FD7791" w:rsidP="000671C4">
      <w:pPr>
        <w:jc w:val="both"/>
        <w:rPr>
          <w:rFonts w:ascii="Arial" w:hAnsi="Arial" w:cs="Arial"/>
          <w:sz w:val="20"/>
          <w:szCs w:val="20"/>
          <w:lang w:val="es-MX"/>
        </w:rPr>
      </w:pPr>
      <w:r w:rsidRPr="007A2115">
        <w:rPr>
          <w:rFonts w:ascii="Arial" w:hAnsi="Arial" w:cs="Arial"/>
          <w:sz w:val="20"/>
          <w:szCs w:val="20"/>
          <w:lang w:val="es-MX"/>
        </w:rPr>
        <w:t>Se solicito incluir en la información de producto sección 4.4 Advertencias especiales</w:t>
      </w:r>
      <w:r w:rsidR="00426ADD" w:rsidRPr="007A2115">
        <w:rPr>
          <w:rFonts w:ascii="Arial" w:hAnsi="Arial" w:cs="Arial"/>
          <w:sz w:val="20"/>
          <w:szCs w:val="20"/>
          <w:lang w:val="es-MX"/>
        </w:rPr>
        <w:t xml:space="preserve"> y precauciones de uso:</w:t>
      </w:r>
    </w:p>
    <w:p w14:paraId="7D982A81" w14:textId="6FC0BA32" w:rsidR="00426ADD" w:rsidRPr="007A2115" w:rsidRDefault="00426ADD" w:rsidP="000671C4">
      <w:pPr>
        <w:jc w:val="both"/>
        <w:rPr>
          <w:rFonts w:ascii="Arial" w:hAnsi="Arial" w:cs="Arial"/>
          <w:sz w:val="20"/>
          <w:szCs w:val="20"/>
          <w:lang w:val="es-MX"/>
        </w:rPr>
      </w:pPr>
      <w:r w:rsidRPr="007A2115">
        <w:rPr>
          <w:rFonts w:ascii="Arial" w:hAnsi="Arial" w:cs="Arial"/>
          <w:sz w:val="20"/>
          <w:szCs w:val="20"/>
          <w:lang w:val="es-MX"/>
        </w:rPr>
        <w:t>“Clindamicina es un potencial nefrotóxico. Ha sido reportad</w:t>
      </w:r>
      <w:r w:rsidR="0003389B">
        <w:rPr>
          <w:rFonts w:ascii="Arial" w:hAnsi="Arial" w:cs="Arial"/>
          <w:sz w:val="20"/>
          <w:szCs w:val="20"/>
          <w:lang w:val="es-MX"/>
        </w:rPr>
        <w:t>a</w:t>
      </w:r>
      <w:r w:rsidRPr="007A2115">
        <w:rPr>
          <w:rFonts w:ascii="Arial" w:hAnsi="Arial" w:cs="Arial"/>
          <w:sz w:val="20"/>
          <w:szCs w:val="20"/>
          <w:lang w:val="es-MX"/>
        </w:rPr>
        <w:t xml:space="preserve"> </w:t>
      </w:r>
      <w:r w:rsidR="0003389B">
        <w:rPr>
          <w:rFonts w:ascii="Arial" w:hAnsi="Arial" w:cs="Arial"/>
          <w:color w:val="000000"/>
          <w:sz w:val="20"/>
          <w:szCs w:val="20"/>
        </w:rPr>
        <w:t>lesión</w:t>
      </w:r>
      <w:r w:rsidR="0003389B" w:rsidRPr="007A2115">
        <w:rPr>
          <w:rFonts w:ascii="Arial" w:hAnsi="Arial" w:cs="Arial"/>
          <w:color w:val="000000"/>
          <w:sz w:val="20"/>
          <w:szCs w:val="20"/>
        </w:rPr>
        <w:t xml:space="preserve"> renal agud</w:t>
      </w:r>
      <w:r w:rsidR="0003389B">
        <w:rPr>
          <w:rFonts w:ascii="Arial" w:hAnsi="Arial" w:cs="Arial"/>
          <w:color w:val="000000"/>
          <w:sz w:val="20"/>
          <w:szCs w:val="20"/>
        </w:rPr>
        <w:t>a</w:t>
      </w:r>
      <w:r w:rsidRPr="007A2115">
        <w:rPr>
          <w:rFonts w:ascii="Arial" w:hAnsi="Arial" w:cs="Arial"/>
          <w:sz w:val="20"/>
          <w:szCs w:val="20"/>
          <w:lang w:val="es-MX"/>
        </w:rPr>
        <w:t xml:space="preserve"> incluyendo </w:t>
      </w:r>
      <w:r w:rsidR="00462B9E">
        <w:rPr>
          <w:rFonts w:ascii="Arial" w:hAnsi="Arial" w:cs="Arial"/>
          <w:sz w:val="20"/>
          <w:szCs w:val="20"/>
          <w:lang w:val="es-MX"/>
        </w:rPr>
        <w:t>Insuficiencia</w:t>
      </w:r>
      <w:r w:rsidRPr="007A2115">
        <w:rPr>
          <w:rFonts w:ascii="Arial" w:hAnsi="Arial" w:cs="Arial"/>
          <w:sz w:val="20"/>
          <w:szCs w:val="20"/>
          <w:lang w:val="es-MX"/>
        </w:rPr>
        <w:t xml:space="preserve"> renal aguda. Por lo tanto, se considera necesario realizar el monitoreo de la función renal durante la terapia en pacientes con disfunción renal pre – existente o que consumen medicamentos nefrotóxicos concomitantes y cuando la terapia con clindamicina es prolongada”.</w:t>
      </w:r>
    </w:p>
    <w:p w14:paraId="73797783" w14:textId="37429967" w:rsidR="00426ADD" w:rsidRPr="007A2115" w:rsidRDefault="00426ADD" w:rsidP="000671C4">
      <w:pPr>
        <w:jc w:val="both"/>
        <w:rPr>
          <w:rFonts w:ascii="Arial" w:hAnsi="Arial" w:cs="Arial"/>
          <w:sz w:val="20"/>
          <w:szCs w:val="20"/>
          <w:lang w:val="es-MX"/>
        </w:rPr>
      </w:pPr>
      <w:r w:rsidRPr="007A2115">
        <w:rPr>
          <w:rFonts w:ascii="Arial" w:hAnsi="Arial" w:cs="Arial"/>
          <w:sz w:val="20"/>
          <w:szCs w:val="20"/>
          <w:lang w:val="es-MX"/>
        </w:rPr>
        <w:t>4.8 Efectos adversos:</w:t>
      </w:r>
    </w:p>
    <w:p w14:paraId="1103E142" w14:textId="0EF6D7D9" w:rsidR="00426ADD" w:rsidRPr="007A2115" w:rsidRDefault="00426ADD" w:rsidP="000671C4">
      <w:pPr>
        <w:jc w:val="both"/>
        <w:rPr>
          <w:rFonts w:ascii="Arial" w:hAnsi="Arial" w:cs="Arial"/>
          <w:sz w:val="20"/>
          <w:szCs w:val="20"/>
          <w:lang w:val="es-MX"/>
        </w:rPr>
      </w:pPr>
      <w:r w:rsidRPr="007A2115">
        <w:rPr>
          <w:rFonts w:ascii="Arial" w:hAnsi="Arial" w:cs="Arial"/>
          <w:sz w:val="20"/>
          <w:szCs w:val="20"/>
          <w:lang w:val="es-MX"/>
        </w:rPr>
        <w:t xml:space="preserve">Experiencia postmarketing – </w:t>
      </w:r>
      <w:r w:rsidR="00BD10D9">
        <w:rPr>
          <w:rFonts w:ascii="Arial" w:hAnsi="Arial" w:cs="Arial"/>
          <w:sz w:val="20"/>
          <w:szCs w:val="20"/>
          <w:lang w:val="es-MX"/>
        </w:rPr>
        <w:t>Trastorno</w:t>
      </w:r>
      <w:r w:rsidRPr="007A2115">
        <w:rPr>
          <w:rFonts w:ascii="Arial" w:hAnsi="Arial" w:cs="Arial"/>
          <w:sz w:val="20"/>
          <w:szCs w:val="20"/>
          <w:lang w:val="es-MX"/>
        </w:rPr>
        <w:t xml:space="preserve"> renal y urinario: </w:t>
      </w:r>
      <w:r w:rsidR="00462B9E">
        <w:rPr>
          <w:rFonts w:ascii="Arial" w:hAnsi="Arial" w:cs="Arial"/>
          <w:sz w:val="20"/>
          <w:szCs w:val="20"/>
          <w:lang w:val="es-MX"/>
        </w:rPr>
        <w:t>Insuficiencia</w:t>
      </w:r>
      <w:r w:rsidR="00462B9E" w:rsidRPr="007A2115">
        <w:rPr>
          <w:rFonts w:ascii="Arial" w:hAnsi="Arial" w:cs="Arial"/>
          <w:sz w:val="20"/>
          <w:szCs w:val="20"/>
          <w:lang w:val="es-MX"/>
        </w:rPr>
        <w:t xml:space="preserve"> </w:t>
      </w:r>
      <w:r w:rsidRPr="007A2115">
        <w:rPr>
          <w:rFonts w:ascii="Arial" w:hAnsi="Arial" w:cs="Arial"/>
          <w:sz w:val="20"/>
          <w:szCs w:val="20"/>
          <w:lang w:val="es-MX"/>
        </w:rPr>
        <w:t>renal aguda (Frecuencia no conocida).</w:t>
      </w:r>
    </w:p>
    <w:p w14:paraId="45FAD1BB" w14:textId="46AF4FFC" w:rsidR="00F73EEE" w:rsidRPr="007A2115" w:rsidRDefault="00000000" w:rsidP="00F73EEE">
      <w:pPr>
        <w:shd w:val="clear" w:color="auto" w:fill="FFFFFF"/>
        <w:spacing w:before="100" w:beforeAutospacing="1" w:after="100" w:afterAutospacing="1" w:line="240" w:lineRule="auto"/>
        <w:outlineLvl w:val="0"/>
        <w:rPr>
          <w:rStyle w:val="Hipervnculo"/>
          <w:rFonts w:ascii="Arial" w:eastAsia="Times New Roman" w:hAnsi="Arial" w:cs="Arial"/>
          <w:b/>
          <w:bCs/>
          <w:kern w:val="36"/>
          <w:sz w:val="20"/>
          <w:szCs w:val="20"/>
          <w:lang w:eastAsia="es-CO"/>
        </w:rPr>
      </w:pPr>
      <w:hyperlink r:id="rId11" w:history="1">
        <w:r w:rsidR="00F73EEE" w:rsidRPr="007A2115">
          <w:rPr>
            <w:rStyle w:val="Hipervnculo"/>
            <w:rFonts w:ascii="Arial" w:eastAsia="Times New Roman" w:hAnsi="Arial" w:cs="Arial"/>
            <w:b/>
            <w:bCs/>
            <w:kern w:val="36"/>
            <w:sz w:val="20"/>
            <w:szCs w:val="20"/>
            <w:lang w:eastAsia="es-CO"/>
          </w:rPr>
          <w:t>https://www.tga.gov.au/news/safety-updates/clindamycin-capsules-and-injections-acute-kidney-injury</w:t>
        </w:r>
      </w:hyperlink>
    </w:p>
    <w:p w14:paraId="2B932FD5" w14:textId="0FE57004" w:rsidR="00DD536B" w:rsidRPr="00D97158" w:rsidRDefault="00DD536B" w:rsidP="00F73EEE">
      <w:pPr>
        <w:shd w:val="clear" w:color="auto" w:fill="FFFFFF"/>
        <w:spacing w:before="100" w:beforeAutospacing="1" w:after="100" w:afterAutospacing="1" w:line="240" w:lineRule="auto"/>
        <w:outlineLvl w:val="0"/>
        <w:rPr>
          <w:rStyle w:val="Hipervnculo"/>
          <w:rFonts w:ascii="Arial" w:eastAsia="Times New Roman" w:hAnsi="Arial" w:cs="Arial"/>
          <w:b/>
          <w:bCs/>
          <w:color w:val="auto"/>
          <w:kern w:val="36"/>
          <w:sz w:val="20"/>
          <w:szCs w:val="20"/>
          <w:u w:val="none"/>
          <w:lang w:val="en-US" w:eastAsia="es-CO"/>
        </w:rPr>
      </w:pPr>
      <w:r w:rsidRPr="00D97158">
        <w:rPr>
          <w:rStyle w:val="Hipervnculo"/>
          <w:rFonts w:ascii="Arial" w:eastAsia="Times New Roman" w:hAnsi="Arial" w:cs="Arial"/>
          <w:b/>
          <w:bCs/>
          <w:color w:val="auto"/>
          <w:kern w:val="36"/>
          <w:sz w:val="20"/>
          <w:szCs w:val="20"/>
          <w:u w:val="none"/>
          <w:lang w:val="en-US" w:eastAsia="es-CO"/>
        </w:rPr>
        <w:t>Food and Drug Administration – FDA:</w:t>
      </w:r>
    </w:p>
    <w:p w14:paraId="02BEFB31" w14:textId="1E32238C" w:rsidR="00845C79" w:rsidRPr="007A2115" w:rsidRDefault="00D2448E" w:rsidP="003975B5">
      <w:pPr>
        <w:shd w:val="clear" w:color="auto" w:fill="FFFFFF"/>
        <w:spacing w:before="100" w:beforeAutospacing="1" w:after="100" w:afterAutospacing="1" w:line="240" w:lineRule="auto"/>
        <w:jc w:val="both"/>
        <w:outlineLvl w:val="0"/>
        <w:rPr>
          <w:rStyle w:val="Hipervnculo"/>
          <w:rFonts w:ascii="Arial" w:eastAsia="Times New Roman" w:hAnsi="Arial" w:cs="Arial"/>
          <w:color w:val="auto"/>
          <w:kern w:val="36"/>
          <w:sz w:val="20"/>
          <w:szCs w:val="20"/>
          <w:u w:val="none"/>
          <w:lang w:eastAsia="es-CO"/>
        </w:rPr>
      </w:pPr>
      <w:r w:rsidRPr="007A2115">
        <w:rPr>
          <w:rStyle w:val="Hipervnculo"/>
          <w:rFonts w:ascii="Arial" w:eastAsia="Times New Roman" w:hAnsi="Arial" w:cs="Arial"/>
          <w:color w:val="auto"/>
          <w:kern w:val="36"/>
          <w:sz w:val="20"/>
          <w:szCs w:val="20"/>
          <w:u w:val="none"/>
          <w:lang w:eastAsia="es-CO"/>
        </w:rPr>
        <w:t>Se realizó la búsqueda</w:t>
      </w:r>
      <w:r w:rsidR="007D3FDA" w:rsidRPr="007A2115">
        <w:rPr>
          <w:rStyle w:val="Hipervnculo"/>
          <w:rFonts w:ascii="Arial" w:eastAsia="Times New Roman" w:hAnsi="Arial" w:cs="Arial"/>
          <w:color w:val="auto"/>
          <w:kern w:val="36"/>
          <w:sz w:val="20"/>
          <w:szCs w:val="20"/>
          <w:u w:val="none"/>
          <w:lang w:eastAsia="es-CO"/>
        </w:rPr>
        <w:t xml:space="preserve"> de varios productos aprobados </w:t>
      </w:r>
      <w:r w:rsidR="00C0144C" w:rsidRPr="007A2115">
        <w:rPr>
          <w:rStyle w:val="Hipervnculo"/>
          <w:rFonts w:ascii="Arial" w:eastAsia="Times New Roman" w:hAnsi="Arial" w:cs="Arial"/>
          <w:color w:val="auto"/>
          <w:kern w:val="36"/>
          <w:sz w:val="20"/>
          <w:szCs w:val="20"/>
          <w:u w:val="none"/>
          <w:lang w:eastAsia="es-CO"/>
        </w:rPr>
        <w:t xml:space="preserve">por la Food and Drug Administration – </w:t>
      </w:r>
      <w:r w:rsidR="00115DFE" w:rsidRPr="007A2115">
        <w:rPr>
          <w:rStyle w:val="Hipervnculo"/>
          <w:rFonts w:ascii="Arial" w:eastAsia="Times New Roman" w:hAnsi="Arial" w:cs="Arial"/>
          <w:color w:val="auto"/>
          <w:kern w:val="36"/>
          <w:sz w:val="20"/>
          <w:szCs w:val="20"/>
          <w:u w:val="none"/>
          <w:lang w:eastAsia="es-CO"/>
        </w:rPr>
        <w:t>FDA que</w:t>
      </w:r>
      <w:r w:rsidRPr="007A2115">
        <w:rPr>
          <w:rStyle w:val="Hipervnculo"/>
          <w:rFonts w:ascii="Arial" w:eastAsia="Times New Roman" w:hAnsi="Arial" w:cs="Arial"/>
          <w:color w:val="auto"/>
          <w:kern w:val="36"/>
          <w:sz w:val="20"/>
          <w:szCs w:val="20"/>
          <w:u w:val="none"/>
          <w:lang w:eastAsia="es-CO"/>
        </w:rPr>
        <w:t xml:space="preserve"> contienen el principio activo clindamicina, los cuales incluyen </w:t>
      </w:r>
      <w:r w:rsidR="003975B5" w:rsidRPr="007A2115">
        <w:rPr>
          <w:rStyle w:val="Hipervnculo"/>
          <w:rFonts w:ascii="Arial" w:eastAsia="Times New Roman" w:hAnsi="Arial" w:cs="Arial"/>
          <w:color w:val="auto"/>
          <w:kern w:val="36"/>
          <w:sz w:val="20"/>
          <w:szCs w:val="20"/>
          <w:u w:val="none"/>
          <w:lang w:eastAsia="es-CO"/>
        </w:rPr>
        <w:t xml:space="preserve">en su información de insertos y prospectos, </w:t>
      </w:r>
      <w:r w:rsidRPr="007A2115">
        <w:rPr>
          <w:rStyle w:val="Hipervnculo"/>
          <w:rFonts w:ascii="Arial" w:eastAsia="Times New Roman" w:hAnsi="Arial" w:cs="Arial"/>
          <w:color w:val="auto"/>
          <w:kern w:val="36"/>
          <w:sz w:val="20"/>
          <w:szCs w:val="20"/>
          <w:u w:val="none"/>
          <w:lang w:eastAsia="es-CO"/>
        </w:rPr>
        <w:t>el siguiente texto</w:t>
      </w:r>
      <w:r w:rsidR="00845C79" w:rsidRPr="007A2115">
        <w:rPr>
          <w:rStyle w:val="Hipervnculo"/>
          <w:rFonts w:ascii="Arial" w:eastAsia="Times New Roman" w:hAnsi="Arial" w:cs="Arial"/>
          <w:color w:val="auto"/>
          <w:kern w:val="36"/>
          <w:sz w:val="20"/>
          <w:szCs w:val="20"/>
          <w:u w:val="none"/>
          <w:lang w:eastAsia="es-CO"/>
        </w:rPr>
        <w:t>:</w:t>
      </w:r>
    </w:p>
    <w:p w14:paraId="4E9C5914" w14:textId="262A8DD8" w:rsidR="007D3FDA" w:rsidRPr="007A2115" w:rsidRDefault="00D2448E" w:rsidP="003975B5">
      <w:pPr>
        <w:shd w:val="clear" w:color="auto" w:fill="FFFFFF"/>
        <w:spacing w:before="100" w:beforeAutospacing="1" w:after="100" w:afterAutospacing="1" w:line="240" w:lineRule="auto"/>
        <w:jc w:val="both"/>
        <w:outlineLvl w:val="0"/>
        <w:rPr>
          <w:rFonts w:ascii="Arial" w:eastAsia="Times New Roman" w:hAnsi="Arial" w:cs="Arial"/>
          <w:kern w:val="36"/>
          <w:sz w:val="20"/>
          <w:szCs w:val="20"/>
          <w:lang w:eastAsia="es-CO"/>
        </w:rPr>
      </w:pPr>
      <w:r w:rsidRPr="007A2115">
        <w:rPr>
          <w:rStyle w:val="Hipervnculo"/>
          <w:rFonts w:ascii="Arial" w:eastAsia="Times New Roman" w:hAnsi="Arial" w:cs="Arial"/>
          <w:color w:val="auto"/>
          <w:kern w:val="36"/>
          <w:sz w:val="20"/>
          <w:szCs w:val="20"/>
          <w:u w:val="none"/>
          <w:lang w:eastAsia="es-CO"/>
        </w:rPr>
        <w:t xml:space="preserve"> </w:t>
      </w:r>
      <w:r w:rsidRPr="007A2115">
        <w:rPr>
          <w:rStyle w:val="Hipervnculo"/>
          <w:rFonts w:ascii="Arial" w:eastAsia="Times New Roman" w:hAnsi="Arial" w:cs="Arial"/>
          <w:b/>
          <w:bCs/>
          <w:color w:val="auto"/>
          <w:kern w:val="36"/>
          <w:sz w:val="20"/>
          <w:szCs w:val="20"/>
          <w:u w:val="none"/>
          <w:lang w:eastAsia="es-CO"/>
        </w:rPr>
        <w:t>“Advertencias y precauciones”:</w:t>
      </w:r>
      <w:r w:rsidRPr="007A2115">
        <w:rPr>
          <w:rStyle w:val="Hipervnculo"/>
          <w:rFonts w:ascii="Arial" w:eastAsia="Times New Roman" w:hAnsi="Arial" w:cs="Arial"/>
          <w:color w:val="auto"/>
          <w:kern w:val="36"/>
          <w:sz w:val="20"/>
          <w:szCs w:val="20"/>
          <w:u w:val="none"/>
          <w:lang w:eastAsia="es-CO"/>
        </w:rPr>
        <w:t xml:space="preserve"> Se han reportado casos de </w:t>
      </w:r>
      <w:r w:rsidR="00A45143">
        <w:rPr>
          <w:rFonts w:ascii="Arial" w:hAnsi="Arial" w:cs="Arial"/>
          <w:color w:val="000000"/>
          <w:sz w:val="20"/>
          <w:szCs w:val="20"/>
        </w:rPr>
        <w:t>lesión</w:t>
      </w:r>
      <w:r w:rsidR="00A45143" w:rsidRPr="007A2115">
        <w:rPr>
          <w:rFonts w:ascii="Arial" w:hAnsi="Arial" w:cs="Arial"/>
          <w:color w:val="000000"/>
          <w:sz w:val="20"/>
          <w:szCs w:val="20"/>
        </w:rPr>
        <w:t xml:space="preserve"> renal agud</w:t>
      </w:r>
      <w:r w:rsidR="00A45143">
        <w:rPr>
          <w:rFonts w:ascii="Arial" w:hAnsi="Arial" w:cs="Arial"/>
          <w:color w:val="000000"/>
          <w:sz w:val="20"/>
          <w:szCs w:val="20"/>
        </w:rPr>
        <w:t>a</w:t>
      </w:r>
      <w:r w:rsidRPr="007A2115">
        <w:rPr>
          <w:rStyle w:val="Hipervnculo"/>
          <w:rFonts w:ascii="Arial" w:eastAsia="Times New Roman" w:hAnsi="Arial" w:cs="Arial"/>
          <w:color w:val="auto"/>
          <w:kern w:val="36"/>
          <w:sz w:val="20"/>
          <w:szCs w:val="20"/>
          <w:u w:val="none"/>
          <w:lang w:eastAsia="es-CO"/>
        </w:rPr>
        <w:t xml:space="preserve"> durante el tratamiento con clindamicina. Se debe considerar el monitoreo de la función renal, particularmente en ciertos pacientes (aquellos con disfunción renal pre - existente). Descontinuar el tratamiento</w:t>
      </w:r>
      <w:r w:rsidR="00F16DCE" w:rsidRPr="007A2115">
        <w:rPr>
          <w:rStyle w:val="Hipervnculo"/>
          <w:rFonts w:ascii="Arial" w:eastAsia="Times New Roman" w:hAnsi="Arial" w:cs="Arial"/>
          <w:color w:val="auto"/>
          <w:kern w:val="36"/>
          <w:sz w:val="20"/>
          <w:szCs w:val="20"/>
          <w:u w:val="none"/>
          <w:lang w:eastAsia="es-CO"/>
        </w:rPr>
        <w:t>, si</w:t>
      </w:r>
      <w:r w:rsidR="00803B82" w:rsidRPr="007A2115">
        <w:rPr>
          <w:rStyle w:val="Hipervnculo"/>
          <w:rFonts w:ascii="Arial" w:eastAsia="Times New Roman" w:hAnsi="Arial" w:cs="Arial"/>
          <w:color w:val="auto"/>
          <w:kern w:val="36"/>
          <w:sz w:val="20"/>
          <w:szCs w:val="20"/>
          <w:u w:val="none"/>
          <w:lang w:eastAsia="es-CO"/>
        </w:rPr>
        <w:t xml:space="preserve"> ocurre </w:t>
      </w:r>
      <w:r w:rsidR="00386F4D">
        <w:rPr>
          <w:rStyle w:val="Hipervnculo"/>
          <w:rFonts w:ascii="Arial" w:eastAsia="Times New Roman" w:hAnsi="Arial" w:cs="Arial"/>
          <w:color w:val="auto"/>
          <w:kern w:val="36"/>
          <w:sz w:val="20"/>
          <w:szCs w:val="20"/>
          <w:u w:val="none"/>
          <w:lang w:eastAsia="es-CO"/>
        </w:rPr>
        <w:t>lesión</w:t>
      </w:r>
      <w:r w:rsidR="00803B82" w:rsidRPr="007A2115">
        <w:rPr>
          <w:rStyle w:val="Hipervnculo"/>
          <w:rFonts w:ascii="Arial" w:eastAsia="Times New Roman" w:hAnsi="Arial" w:cs="Arial"/>
          <w:color w:val="auto"/>
          <w:kern w:val="36"/>
          <w:sz w:val="20"/>
          <w:szCs w:val="20"/>
          <w:u w:val="none"/>
          <w:lang w:eastAsia="es-CO"/>
        </w:rPr>
        <w:t xml:space="preserve"> renal agud</w:t>
      </w:r>
      <w:r w:rsidR="00386F4D">
        <w:rPr>
          <w:rStyle w:val="Hipervnculo"/>
          <w:rFonts w:ascii="Arial" w:eastAsia="Times New Roman" w:hAnsi="Arial" w:cs="Arial"/>
          <w:color w:val="auto"/>
          <w:kern w:val="36"/>
          <w:sz w:val="20"/>
          <w:szCs w:val="20"/>
          <w:u w:val="none"/>
          <w:lang w:eastAsia="es-CO"/>
        </w:rPr>
        <w:t>a</w:t>
      </w:r>
      <w:r w:rsidR="00803B82" w:rsidRPr="007A2115">
        <w:rPr>
          <w:rStyle w:val="Hipervnculo"/>
          <w:rFonts w:ascii="Arial" w:eastAsia="Times New Roman" w:hAnsi="Arial" w:cs="Arial"/>
          <w:color w:val="auto"/>
          <w:kern w:val="36"/>
          <w:sz w:val="20"/>
          <w:szCs w:val="20"/>
          <w:u w:val="none"/>
          <w:lang w:eastAsia="es-CO"/>
        </w:rPr>
        <w:t xml:space="preserve"> y no se identifica otra etiología.</w:t>
      </w:r>
    </w:p>
    <w:p w14:paraId="2401FEE7" w14:textId="3273B548" w:rsidR="00F73EEE" w:rsidRPr="007A2115" w:rsidRDefault="00321216" w:rsidP="008A41FF">
      <w:pPr>
        <w:jc w:val="both"/>
        <w:rPr>
          <w:rFonts w:ascii="Arial" w:hAnsi="Arial" w:cs="Arial"/>
          <w:sz w:val="20"/>
          <w:szCs w:val="20"/>
          <w:lang w:val="es-MX"/>
        </w:rPr>
      </w:pPr>
      <w:r w:rsidRPr="007A2115">
        <w:rPr>
          <w:rFonts w:ascii="Arial" w:hAnsi="Arial" w:cs="Arial"/>
          <w:sz w:val="20"/>
          <w:szCs w:val="20"/>
          <w:lang w:val="es-MX"/>
        </w:rPr>
        <w:t xml:space="preserve">En Colombia, la información farmacológica con la que cuentan los productos </w:t>
      </w:r>
      <w:r w:rsidR="008A41FF" w:rsidRPr="007A2115">
        <w:rPr>
          <w:rFonts w:ascii="Arial" w:hAnsi="Arial" w:cs="Arial"/>
          <w:sz w:val="20"/>
          <w:szCs w:val="20"/>
          <w:lang w:val="es-MX"/>
        </w:rPr>
        <w:t>que contienen clindamicina</w:t>
      </w:r>
      <w:r w:rsidR="0075092C" w:rsidRPr="007A2115">
        <w:rPr>
          <w:rFonts w:ascii="Arial" w:hAnsi="Arial" w:cs="Arial"/>
          <w:sz w:val="20"/>
          <w:szCs w:val="20"/>
          <w:lang w:val="es-MX"/>
        </w:rPr>
        <w:t xml:space="preserve"> y que corresponden a la forma farmacéutica solución para inyección</w:t>
      </w:r>
      <w:r w:rsidR="00DB79CA">
        <w:rPr>
          <w:rFonts w:ascii="Arial" w:hAnsi="Arial" w:cs="Arial"/>
          <w:sz w:val="20"/>
          <w:szCs w:val="20"/>
          <w:lang w:val="es-MX"/>
        </w:rPr>
        <w:t xml:space="preserve"> y cápsula</w:t>
      </w:r>
      <w:r w:rsidR="0075092C" w:rsidRPr="007A2115">
        <w:rPr>
          <w:rFonts w:ascii="Arial" w:hAnsi="Arial" w:cs="Arial"/>
          <w:sz w:val="20"/>
          <w:szCs w:val="20"/>
          <w:lang w:val="es-MX"/>
        </w:rPr>
        <w:t>,</w:t>
      </w:r>
      <w:r w:rsidRPr="007A2115">
        <w:rPr>
          <w:rFonts w:ascii="Arial" w:hAnsi="Arial" w:cs="Arial"/>
          <w:sz w:val="20"/>
          <w:szCs w:val="20"/>
          <w:lang w:val="es-MX"/>
        </w:rPr>
        <w:t xml:space="preserve"> fue conceptuada en las Actas de Comisión Revisora</w:t>
      </w:r>
      <w:r w:rsidR="008A41FF" w:rsidRPr="007A2115">
        <w:rPr>
          <w:rFonts w:ascii="Arial" w:hAnsi="Arial" w:cs="Arial"/>
          <w:sz w:val="20"/>
          <w:szCs w:val="20"/>
          <w:lang w:val="es-MX"/>
        </w:rPr>
        <w:t>:</w:t>
      </w:r>
    </w:p>
    <w:p w14:paraId="7A0FA131" w14:textId="77777777" w:rsidR="00D63251" w:rsidRPr="007A2115" w:rsidRDefault="008A41FF" w:rsidP="00D63251">
      <w:pPr>
        <w:jc w:val="both"/>
        <w:rPr>
          <w:rFonts w:ascii="Arial" w:hAnsi="Arial" w:cs="Arial"/>
          <w:b/>
          <w:bCs/>
          <w:sz w:val="20"/>
          <w:szCs w:val="20"/>
          <w:lang w:val="es-MX"/>
        </w:rPr>
      </w:pPr>
      <w:r w:rsidRPr="007A2115">
        <w:rPr>
          <w:rFonts w:ascii="Arial" w:hAnsi="Arial" w:cs="Arial"/>
          <w:b/>
          <w:bCs/>
          <w:sz w:val="20"/>
          <w:szCs w:val="20"/>
          <w:lang w:val="es-MX"/>
        </w:rPr>
        <w:t xml:space="preserve">- Acta 21 del 1999: </w:t>
      </w:r>
      <w:r w:rsidR="00D63251" w:rsidRPr="007A2115">
        <w:rPr>
          <w:rFonts w:ascii="Arial" w:hAnsi="Arial" w:cs="Arial"/>
          <w:b/>
          <w:bCs/>
          <w:sz w:val="20"/>
          <w:szCs w:val="20"/>
          <w:lang w:val="es-MX"/>
        </w:rPr>
        <w:t>CLINDAMICINA.</w:t>
      </w:r>
    </w:p>
    <w:p w14:paraId="44A7CEA2" w14:textId="514F2D03" w:rsidR="00D63251" w:rsidRPr="007A2115" w:rsidRDefault="00D63251" w:rsidP="00D63251">
      <w:pPr>
        <w:jc w:val="both"/>
        <w:rPr>
          <w:rFonts w:ascii="Arial" w:hAnsi="Arial" w:cs="Arial"/>
          <w:sz w:val="20"/>
          <w:szCs w:val="20"/>
          <w:lang w:val="es-MX"/>
        </w:rPr>
      </w:pPr>
      <w:r w:rsidRPr="007A2115">
        <w:rPr>
          <w:rFonts w:ascii="Arial" w:hAnsi="Arial" w:cs="Arial"/>
          <w:sz w:val="20"/>
          <w:szCs w:val="20"/>
          <w:lang w:val="es-MX"/>
        </w:rPr>
        <w:t xml:space="preserve">Indicaciones: Infecciones causadas por </w:t>
      </w:r>
      <w:r w:rsidR="00115DFE" w:rsidRPr="007A2115">
        <w:rPr>
          <w:rFonts w:ascii="Arial" w:hAnsi="Arial" w:cs="Arial"/>
          <w:sz w:val="20"/>
          <w:szCs w:val="20"/>
          <w:lang w:val="es-MX"/>
        </w:rPr>
        <w:t>gérmenes</w:t>
      </w:r>
      <w:r w:rsidRPr="007A2115">
        <w:rPr>
          <w:rFonts w:ascii="Arial" w:hAnsi="Arial" w:cs="Arial"/>
          <w:sz w:val="20"/>
          <w:szCs w:val="20"/>
          <w:lang w:val="es-MX"/>
        </w:rPr>
        <w:t xml:space="preserve"> sensibles a la clindamicina.</w:t>
      </w:r>
    </w:p>
    <w:p w14:paraId="74AF042D" w14:textId="5A1DEC74" w:rsidR="00D63251" w:rsidRPr="007A2115" w:rsidRDefault="002304DF" w:rsidP="00D63251">
      <w:pPr>
        <w:jc w:val="both"/>
        <w:rPr>
          <w:rFonts w:ascii="Arial" w:hAnsi="Arial" w:cs="Arial"/>
          <w:sz w:val="20"/>
          <w:szCs w:val="20"/>
          <w:lang w:val="es-MX"/>
        </w:rPr>
      </w:pPr>
      <w:r w:rsidRPr="007A2115">
        <w:rPr>
          <w:rFonts w:ascii="Arial" w:hAnsi="Arial" w:cs="Arial"/>
          <w:sz w:val="20"/>
          <w:szCs w:val="20"/>
          <w:lang w:val="es-MX"/>
        </w:rPr>
        <w:lastRenderedPageBreak/>
        <w:t>C</w:t>
      </w:r>
      <w:r w:rsidR="00D63251" w:rsidRPr="007A2115">
        <w:rPr>
          <w:rFonts w:ascii="Arial" w:hAnsi="Arial" w:cs="Arial"/>
          <w:sz w:val="20"/>
          <w:szCs w:val="20"/>
          <w:lang w:val="es-MX"/>
        </w:rPr>
        <w:t>ontraindicaciones:</w:t>
      </w:r>
      <w:r w:rsidRPr="007A2115">
        <w:rPr>
          <w:rFonts w:ascii="Arial" w:hAnsi="Arial" w:cs="Arial"/>
          <w:sz w:val="20"/>
          <w:szCs w:val="20"/>
          <w:lang w:val="es-MX"/>
        </w:rPr>
        <w:t xml:space="preserve"> H</w:t>
      </w:r>
      <w:r w:rsidR="00D63251" w:rsidRPr="007A2115">
        <w:rPr>
          <w:rFonts w:ascii="Arial" w:hAnsi="Arial" w:cs="Arial"/>
          <w:sz w:val="20"/>
          <w:szCs w:val="20"/>
          <w:lang w:val="es-MX"/>
        </w:rPr>
        <w:t xml:space="preserve">ipersensibilidad a la clindamicina, </w:t>
      </w:r>
      <w:r w:rsidR="00115DFE" w:rsidRPr="007A2115">
        <w:rPr>
          <w:rFonts w:ascii="Arial" w:hAnsi="Arial" w:cs="Arial"/>
          <w:sz w:val="20"/>
          <w:szCs w:val="20"/>
          <w:lang w:val="es-MX"/>
        </w:rPr>
        <w:t>recién</w:t>
      </w:r>
      <w:r w:rsidR="00D63251" w:rsidRPr="007A2115">
        <w:rPr>
          <w:rFonts w:ascii="Arial" w:hAnsi="Arial" w:cs="Arial"/>
          <w:sz w:val="20"/>
          <w:szCs w:val="20"/>
          <w:lang w:val="es-MX"/>
        </w:rPr>
        <w:t xml:space="preserve"> nacidos, embarazo. </w:t>
      </w:r>
      <w:r w:rsidR="00115DFE" w:rsidRPr="007A2115">
        <w:rPr>
          <w:rFonts w:ascii="Arial" w:hAnsi="Arial" w:cs="Arial"/>
          <w:sz w:val="20"/>
          <w:szCs w:val="20"/>
          <w:lang w:val="es-MX"/>
        </w:rPr>
        <w:t>adminístrese</w:t>
      </w:r>
      <w:r w:rsidR="00D63251" w:rsidRPr="007A2115">
        <w:rPr>
          <w:rFonts w:ascii="Arial" w:hAnsi="Arial" w:cs="Arial"/>
          <w:sz w:val="20"/>
          <w:szCs w:val="20"/>
          <w:lang w:val="es-MX"/>
        </w:rPr>
        <w:t xml:space="preserve"> con</w:t>
      </w:r>
    </w:p>
    <w:p w14:paraId="00F1BFEB" w14:textId="0951F095" w:rsidR="008A41FF" w:rsidRPr="007A2115" w:rsidRDefault="002304DF" w:rsidP="00D63251">
      <w:pPr>
        <w:jc w:val="both"/>
        <w:rPr>
          <w:rFonts w:ascii="Arial" w:hAnsi="Arial" w:cs="Arial"/>
          <w:sz w:val="20"/>
          <w:szCs w:val="20"/>
          <w:lang w:val="es-MX"/>
        </w:rPr>
      </w:pPr>
      <w:r w:rsidRPr="007A2115">
        <w:rPr>
          <w:rFonts w:ascii="Arial" w:hAnsi="Arial" w:cs="Arial"/>
          <w:sz w:val="20"/>
          <w:szCs w:val="20"/>
          <w:lang w:val="es-MX"/>
        </w:rPr>
        <w:t>precaución</w:t>
      </w:r>
      <w:r w:rsidR="00D63251" w:rsidRPr="007A2115">
        <w:rPr>
          <w:rFonts w:ascii="Arial" w:hAnsi="Arial" w:cs="Arial"/>
          <w:sz w:val="20"/>
          <w:szCs w:val="20"/>
          <w:lang w:val="es-MX"/>
        </w:rPr>
        <w:t xml:space="preserve"> en pacientes con </w:t>
      </w:r>
      <w:r w:rsidRPr="007A2115">
        <w:rPr>
          <w:rFonts w:ascii="Arial" w:hAnsi="Arial" w:cs="Arial"/>
          <w:sz w:val="20"/>
          <w:szCs w:val="20"/>
          <w:lang w:val="es-MX"/>
        </w:rPr>
        <w:t>disfunción</w:t>
      </w:r>
      <w:r w:rsidR="00D63251" w:rsidRPr="007A2115">
        <w:rPr>
          <w:rFonts w:ascii="Arial" w:hAnsi="Arial" w:cs="Arial"/>
          <w:sz w:val="20"/>
          <w:szCs w:val="20"/>
          <w:lang w:val="es-MX"/>
        </w:rPr>
        <w:t xml:space="preserve"> </w:t>
      </w:r>
      <w:r w:rsidRPr="007A2115">
        <w:rPr>
          <w:rFonts w:ascii="Arial" w:hAnsi="Arial" w:cs="Arial"/>
          <w:sz w:val="20"/>
          <w:szCs w:val="20"/>
          <w:lang w:val="es-MX"/>
        </w:rPr>
        <w:t>hepática</w:t>
      </w:r>
      <w:r w:rsidR="00D63251" w:rsidRPr="007A2115">
        <w:rPr>
          <w:rFonts w:ascii="Arial" w:hAnsi="Arial" w:cs="Arial"/>
          <w:sz w:val="20"/>
          <w:szCs w:val="20"/>
          <w:lang w:val="es-MX"/>
        </w:rPr>
        <w:t xml:space="preserve"> o renal. puede producir colitis pseudomembranosa a veces fatal</w:t>
      </w:r>
      <w:r w:rsidRPr="007A2115">
        <w:rPr>
          <w:rFonts w:ascii="Arial" w:hAnsi="Arial" w:cs="Arial"/>
          <w:sz w:val="20"/>
          <w:szCs w:val="20"/>
          <w:lang w:val="es-MX"/>
        </w:rPr>
        <w:t>.</w:t>
      </w:r>
    </w:p>
    <w:p w14:paraId="2787300A" w14:textId="2505EA31" w:rsidR="0075092C" w:rsidRPr="007A2115" w:rsidRDefault="0075092C" w:rsidP="0075092C">
      <w:pPr>
        <w:jc w:val="both"/>
        <w:rPr>
          <w:rFonts w:ascii="Arial" w:hAnsi="Arial" w:cs="Arial"/>
          <w:b/>
          <w:bCs/>
          <w:sz w:val="20"/>
          <w:szCs w:val="20"/>
          <w:lang w:val="es-MX"/>
        </w:rPr>
      </w:pPr>
      <w:r w:rsidRPr="007A2115">
        <w:rPr>
          <w:rFonts w:ascii="Arial" w:hAnsi="Arial" w:cs="Arial"/>
          <w:b/>
          <w:bCs/>
          <w:sz w:val="20"/>
          <w:szCs w:val="20"/>
          <w:lang w:val="es-MX"/>
        </w:rPr>
        <w:t>-  Acta 66 del 2012:</w:t>
      </w:r>
    </w:p>
    <w:p w14:paraId="40040882" w14:textId="5358BD1A" w:rsidR="0075092C" w:rsidRPr="007A2115" w:rsidRDefault="0075092C" w:rsidP="0075092C">
      <w:pPr>
        <w:jc w:val="both"/>
        <w:rPr>
          <w:rFonts w:ascii="Arial" w:hAnsi="Arial" w:cs="Arial"/>
          <w:sz w:val="20"/>
          <w:szCs w:val="20"/>
        </w:rPr>
      </w:pPr>
      <w:r w:rsidRPr="007A2115">
        <w:rPr>
          <w:rFonts w:ascii="Arial" w:hAnsi="Arial" w:cs="Arial"/>
          <w:b/>
          <w:bCs/>
          <w:sz w:val="20"/>
          <w:szCs w:val="20"/>
        </w:rPr>
        <w:t>Forma farmacéutica:</w:t>
      </w:r>
      <w:r w:rsidRPr="007A2115">
        <w:rPr>
          <w:rFonts w:ascii="Arial" w:hAnsi="Arial" w:cs="Arial"/>
          <w:sz w:val="20"/>
          <w:szCs w:val="20"/>
        </w:rPr>
        <w:t xml:space="preserve"> Solución intravenosa inyectable.</w:t>
      </w:r>
    </w:p>
    <w:p w14:paraId="0E5B6A63" w14:textId="361FFDE4" w:rsidR="00FE2C25" w:rsidRDefault="00FE2C25" w:rsidP="00FE2C25">
      <w:pPr>
        <w:jc w:val="both"/>
        <w:rPr>
          <w:rFonts w:ascii="Arial" w:hAnsi="Arial" w:cs="Arial"/>
          <w:sz w:val="20"/>
          <w:szCs w:val="20"/>
        </w:rPr>
      </w:pPr>
      <w:r w:rsidRPr="007A2115">
        <w:rPr>
          <w:rFonts w:ascii="Arial" w:hAnsi="Arial" w:cs="Arial"/>
          <w:b/>
          <w:bCs/>
          <w:sz w:val="20"/>
          <w:szCs w:val="20"/>
        </w:rPr>
        <w:t>Trastornos renales:</w:t>
      </w:r>
      <w:r w:rsidRPr="007A2115">
        <w:rPr>
          <w:rFonts w:ascii="Arial" w:hAnsi="Arial" w:cs="Arial"/>
          <w:sz w:val="20"/>
          <w:szCs w:val="20"/>
        </w:rPr>
        <w:t xml:space="preserve"> Si bien no se ha establecido una relación directa entre la Clindamicina y el daño renal, se ha observado raros casos de disfunción renal, principalmente cuando se administra concomitantemente con Gentamicina. La función renal mejora cuando cesa la terapia.</w:t>
      </w:r>
    </w:p>
    <w:p w14:paraId="045BD53F" w14:textId="57541557" w:rsidR="00BF0750" w:rsidRPr="00BF0750" w:rsidRDefault="00BF0750" w:rsidP="00BF0750">
      <w:pPr>
        <w:jc w:val="both"/>
        <w:rPr>
          <w:rFonts w:ascii="Arial" w:hAnsi="Arial" w:cs="Arial"/>
          <w:b/>
          <w:bCs/>
          <w:sz w:val="20"/>
          <w:szCs w:val="20"/>
        </w:rPr>
      </w:pPr>
      <w:r w:rsidRPr="00BF0750">
        <w:rPr>
          <w:rFonts w:ascii="Arial" w:hAnsi="Arial" w:cs="Arial"/>
          <w:b/>
          <w:bCs/>
          <w:sz w:val="20"/>
          <w:szCs w:val="20"/>
        </w:rPr>
        <w:t>- Acta 10 del 2016:</w:t>
      </w:r>
    </w:p>
    <w:p w14:paraId="2B155726" w14:textId="41B1E571" w:rsidR="00BF0750" w:rsidRDefault="00BF0750" w:rsidP="00BF0750">
      <w:pPr>
        <w:rPr>
          <w:rFonts w:ascii="Arial" w:hAnsi="Arial" w:cs="Arial"/>
          <w:sz w:val="20"/>
          <w:szCs w:val="20"/>
        </w:rPr>
      </w:pPr>
      <w:r w:rsidRPr="00BF0750">
        <w:rPr>
          <w:rFonts w:ascii="Arial" w:hAnsi="Arial" w:cs="Arial"/>
          <w:b/>
          <w:bCs/>
          <w:sz w:val="20"/>
          <w:szCs w:val="20"/>
        </w:rPr>
        <w:t>Forma farmacéutica:</w:t>
      </w:r>
      <w:r w:rsidRPr="00BF0750">
        <w:rPr>
          <w:rFonts w:ascii="Arial" w:hAnsi="Arial" w:cs="Arial"/>
          <w:sz w:val="20"/>
          <w:szCs w:val="20"/>
        </w:rPr>
        <w:t xml:space="preserve"> Cápsula Dura</w:t>
      </w:r>
      <w:r w:rsidR="009E580B">
        <w:rPr>
          <w:rFonts w:ascii="Arial" w:hAnsi="Arial" w:cs="Arial"/>
          <w:sz w:val="20"/>
          <w:szCs w:val="20"/>
        </w:rPr>
        <w:t>.</w:t>
      </w:r>
    </w:p>
    <w:p w14:paraId="39CA47EA" w14:textId="77777777" w:rsidR="009E580B" w:rsidRPr="00FE23EE" w:rsidRDefault="009E580B" w:rsidP="00FE23EE">
      <w:pPr>
        <w:jc w:val="both"/>
        <w:rPr>
          <w:rFonts w:ascii="Arial" w:hAnsi="Arial" w:cs="Arial"/>
          <w:b/>
          <w:bCs/>
          <w:sz w:val="20"/>
          <w:szCs w:val="20"/>
        </w:rPr>
      </w:pPr>
      <w:r w:rsidRPr="00FE23EE">
        <w:rPr>
          <w:rFonts w:ascii="Arial" w:hAnsi="Arial" w:cs="Arial"/>
          <w:b/>
          <w:bCs/>
          <w:sz w:val="20"/>
          <w:szCs w:val="20"/>
        </w:rPr>
        <w:t>Contraindicaciones:</w:t>
      </w:r>
    </w:p>
    <w:p w14:paraId="474BFA7A" w14:textId="02D03FF1" w:rsidR="009E580B" w:rsidRPr="009E580B" w:rsidRDefault="009E580B" w:rsidP="00FE23EE">
      <w:pPr>
        <w:jc w:val="both"/>
        <w:rPr>
          <w:rFonts w:ascii="Arial" w:hAnsi="Arial" w:cs="Arial"/>
          <w:sz w:val="20"/>
          <w:szCs w:val="20"/>
        </w:rPr>
      </w:pPr>
      <w:r w:rsidRPr="009E580B">
        <w:rPr>
          <w:rFonts w:ascii="Arial" w:hAnsi="Arial" w:cs="Arial"/>
          <w:sz w:val="20"/>
          <w:szCs w:val="20"/>
        </w:rPr>
        <w:t>Contraindicada en pacientes con hipersensibilidad conocida a la clindamicina,</w:t>
      </w:r>
      <w:r>
        <w:rPr>
          <w:rFonts w:ascii="Arial" w:hAnsi="Arial" w:cs="Arial"/>
          <w:sz w:val="20"/>
          <w:szCs w:val="20"/>
        </w:rPr>
        <w:t xml:space="preserve"> </w:t>
      </w:r>
      <w:r w:rsidRPr="009E580B">
        <w:rPr>
          <w:rFonts w:ascii="Arial" w:hAnsi="Arial" w:cs="Arial"/>
          <w:sz w:val="20"/>
          <w:szCs w:val="20"/>
        </w:rPr>
        <w:t>lincomicina o algún componente de la formulación. Recién nacidos.</w:t>
      </w:r>
    </w:p>
    <w:p w14:paraId="48D505C4" w14:textId="77777777" w:rsidR="009E580B" w:rsidRPr="00FE23EE" w:rsidRDefault="009E580B" w:rsidP="00FE23EE">
      <w:pPr>
        <w:jc w:val="both"/>
        <w:rPr>
          <w:rFonts w:ascii="Arial" w:hAnsi="Arial" w:cs="Arial"/>
          <w:b/>
          <w:bCs/>
          <w:sz w:val="20"/>
          <w:szCs w:val="20"/>
        </w:rPr>
      </w:pPr>
      <w:r w:rsidRPr="00FE23EE">
        <w:rPr>
          <w:rFonts w:ascii="Arial" w:hAnsi="Arial" w:cs="Arial"/>
          <w:b/>
          <w:bCs/>
          <w:sz w:val="20"/>
          <w:szCs w:val="20"/>
        </w:rPr>
        <w:t>Advertencias:</w:t>
      </w:r>
    </w:p>
    <w:p w14:paraId="60BBF4CB" w14:textId="5446754B" w:rsidR="009E580B" w:rsidRPr="00BF0750" w:rsidRDefault="009E580B" w:rsidP="00FE23EE">
      <w:pPr>
        <w:jc w:val="both"/>
        <w:rPr>
          <w:rFonts w:ascii="Arial" w:hAnsi="Arial" w:cs="Arial"/>
          <w:sz w:val="20"/>
          <w:szCs w:val="20"/>
        </w:rPr>
      </w:pPr>
      <w:r w:rsidRPr="009E580B">
        <w:rPr>
          <w:rFonts w:ascii="Arial" w:hAnsi="Arial" w:cs="Arial"/>
          <w:sz w:val="20"/>
          <w:szCs w:val="20"/>
        </w:rPr>
        <w:t>En caso de hipersensibilidad o reacción cutánea severa (reacción al medicamento</w:t>
      </w:r>
      <w:r>
        <w:rPr>
          <w:rFonts w:ascii="Arial" w:hAnsi="Arial" w:cs="Arial"/>
          <w:sz w:val="20"/>
          <w:szCs w:val="20"/>
        </w:rPr>
        <w:t xml:space="preserve"> </w:t>
      </w:r>
      <w:r w:rsidRPr="009E580B">
        <w:rPr>
          <w:rFonts w:ascii="Arial" w:hAnsi="Arial" w:cs="Arial"/>
          <w:sz w:val="20"/>
          <w:szCs w:val="20"/>
        </w:rPr>
        <w:t>con eosinofilia y síntomas sistémicos (DRESS), síndrome de Stevens-Johnson</w:t>
      </w:r>
      <w:r>
        <w:rPr>
          <w:rFonts w:ascii="Arial" w:hAnsi="Arial" w:cs="Arial"/>
          <w:sz w:val="20"/>
          <w:szCs w:val="20"/>
        </w:rPr>
        <w:t xml:space="preserve"> </w:t>
      </w:r>
      <w:r w:rsidRPr="009E580B">
        <w:rPr>
          <w:rFonts w:ascii="Arial" w:hAnsi="Arial" w:cs="Arial"/>
          <w:sz w:val="20"/>
          <w:szCs w:val="20"/>
        </w:rPr>
        <w:t>(SJS), necrólisis epidérmica tóxica (NET) y pustulosis exantemática generalizada</w:t>
      </w:r>
      <w:r>
        <w:rPr>
          <w:rFonts w:ascii="Arial" w:hAnsi="Arial" w:cs="Arial"/>
          <w:sz w:val="20"/>
          <w:szCs w:val="20"/>
        </w:rPr>
        <w:t xml:space="preserve"> </w:t>
      </w:r>
      <w:r w:rsidRPr="009E580B">
        <w:rPr>
          <w:rFonts w:ascii="Arial" w:hAnsi="Arial" w:cs="Arial"/>
          <w:sz w:val="20"/>
          <w:szCs w:val="20"/>
        </w:rPr>
        <w:t>aguda (AGEP)), se debe suspender la administración e iniciar tratamiento</w:t>
      </w:r>
      <w:r>
        <w:rPr>
          <w:rFonts w:ascii="Arial" w:hAnsi="Arial" w:cs="Arial"/>
          <w:sz w:val="20"/>
          <w:szCs w:val="20"/>
        </w:rPr>
        <w:t xml:space="preserve"> </w:t>
      </w:r>
      <w:r w:rsidRPr="009E580B">
        <w:rPr>
          <w:rFonts w:ascii="Arial" w:hAnsi="Arial" w:cs="Arial"/>
          <w:sz w:val="20"/>
          <w:szCs w:val="20"/>
        </w:rPr>
        <w:t>adecuado. No debe utilizarse en el tratamiento de la meningitis. Considerar el</w:t>
      </w:r>
      <w:r>
        <w:rPr>
          <w:rFonts w:ascii="Arial" w:hAnsi="Arial" w:cs="Arial"/>
          <w:sz w:val="20"/>
          <w:szCs w:val="20"/>
        </w:rPr>
        <w:t xml:space="preserve"> </w:t>
      </w:r>
      <w:r w:rsidRPr="009E580B">
        <w:rPr>
          <w:rFonts w:ascii="Arial" w:hAnsi="Arial" w:cs="Arial"/>
          <w:sz w:val="20"/>
          <w:szCs w:val="20"/>
        </w:rPr>
        <w:t>diagnóstico de C. difficile asociado a diarrea en pacientes que presenten diarrea</w:t>
      </w:r>
      <w:r>
        <w:rPr>
          <w:rFonts w:ascii="Arial" w:hAnsi="Arial" w:cs="Arial"/>
          <w:sz w:val="20"/>
          <w:szCs w:val="20"/>
        </w:rPr>
        <w:t xml:space="preserve"> </w:t>
      </w:r>
      <w:r w:rsidRPr="009E580B">
        <w:rPr>
          <w:rFonts w:ascii="Arial" w:hAnsi="Arial" w:cs="Arial"/>
          <w:sz w:val="20"/>
          <w:szCs w:val="20"/>
        </w:rPr>
        <w:t>luego de la administración de clindamicina. Puede producir colitis</w:t>
      </w:r>
      <w:r>
        <w:rPr>
          <w:rFonts w:ascii="Arial" w:hAnsi="Arial" w:cs="Arial"/>
          <w:sz w:val="20"/>
          <w:szCs w:val="20"/>
        </w:rPr>
        <w:t xml:space="preserve"> </w:t>
      </w:r>
      <w:r w:rsidRPr="009E580B">
        <w:rPr>
          <w:rFonts w:ascii="Arial" w:hAnsi="Arial" w:cs="Arial"/>
          <w:sz w:val="20"/>
          <w:szCs w:val="20"/>
        </w:rPr>
        <w:t>pseudomembranosa a veces fatal. Administrar con precaución en pacientes con</w:t>
      </w:r>
      <w:r>
        <w:rPr>
          <w:rFonts w:ascii="Arial" w:hAnsi="Arial" w:cs="Arial"/>
          <w:sz w:val="20"/>
          <w:szCs w:val="20"/>
        </w:rPr>
        <w:t xml:space="preserve"> </w:t>
      </w:r>
      <w:r w:rsidRPr="009E580B">
        <w:rPr>
          <w:rFonts w:ascii="Arial" w:hAnsi="Arial" w:cs="Arial"/>
          <w:sz w:val="20"/>
          <w:szCs w:val="20"/>
        </w:rPr>
        <w:t>disfunción hepática o renal.</w:t>
      </w:r>
      <w:r w:rsidRPr="009E580B">
        <w:rPr>
          <w:rFonts w:ascii="Arial" w:hAnsi="Arial" w:cs="Arial"/>
          <w:sz w:val="20"/>
          <w:szCs w:val="20"/>
        </w:rPr>
        <w:cr/>
      </w:r>
    </w:p>
    <w:p w14:paraId="092816AF" w14:textId="11986B90" w:rsidR="006C0666" w:rsidRPr="007A2115" w:rsidRDefault="000678D8" w:rsidP="00230E6D">
      <w:pPr>
        <w:rPr>
          <w:rFonts w:ascii="Arial" w:hAnsi="Arial" w:cs="Arial"/>
          <w:b/>
          <w:bCs/>
          <w:sz w:val="20"/>
          <w:szCs w:val="20"/>
          <w:lang w:val="es-MX"/>
        </w:rPr>
      </w:pPr>
      <w:r w:rsidRPr="007A2115">
        <w:rPr>
          <w:rFonts w:ascii="Arial" w:hAnsi="Arial" w:cs="Arial"/>
          <w:b/>
          <w:bCs/>
          <w:sz w:val="20"/>
          <w:szCs w:val="20"/>
          <w:lang w:val="es-MX"/>
        </w:rPr>
        <w:t>1.2</w:t>
      </w:r>
      <w:r w:rsidRPr="007A2115">
        <w:rPr>
          <w:rFonts w:ascii="Arial" w:hAnsi="Arial" w:cs="Arial"/>
          <w:b/>
          <w:bCs/>
          <w:sz w:val="20"/>
          <w:szCs w:val="20"/>
          <w:lang w:val="es-MX"/>
        </w:rPr>
        <w:tab/>
        <w:t>REFERENCIACIÓN:</w:t>
      </w:r>
    </w:p>
    <w:p w14:paraId="1F633EEB" w14:textId="6E86BDDA" w:rsidR="00230E6D" w:rsidRPr="007A2115" w:rsidRDefault="0075319D" w:rsidP="00DF75E6">
      <w:pPr>
        <w:jc w:val="both"/>
        <w:rPr>
          <w:rFonts w:ascii="Arial" w:hAnsi="Arial" w:cs="Arial"/>
          <w:bCs/>
          <w:sz w:val="20"/>
          <w:szCs w:val="20"/>
          <w:lang w:val="es-MX"/>
        </w:rPr>
      </w:pPr>
      <w:r w:rsidRPr="007A2115">
        <w:rPr>
          <w:rFonts w:ascii="Arial" w:hAnsi="Arial" w:cs="Arial"/>
          <w:bCs/>
          <w:sz w:val="20"/>
          <w:szCs w:val="20"/>
          <w:lang w:val="es-MX"/>
        </w:rPr>
        <w:t xml:space="preserve">La </w:t>
      </w:r>
      <w:r w:rsidR="00DF75E6" w:rsidRPr="007A2115">
        <w:rPr>
          <w:rFonts w:ascii="Arial" w:hAnsi="Arial" w:cs="Arial"/>
          <w:bCs/>
          <w:sz w:val="20"/>
          <w:szCs w:val="20"/>
          <w:lang w:val="es-MX"/>
        </w:rPr>
        <w:t>clindamicina es ampliamente usada en la pr</w:t>
      </w:r>
      <w:r w:rsidR="000B3E5B" w:rsidRPr="007A2115">
        <w:rPr>
          <w:rFonts w:ascii="Arial" w:hAnsi="Arial" w:cs="Arial"/>
          <w:bCs/>
          <w:sz w:val="20"/>
          <w:szCs w:val="20"/>
          <w:lang w:val="es-MX"/>
        </w:rPr>
        <w:t>á</w:t>
      </w:r>
      <w:r w:rsidR="00DF75E6" w:rsidRPr="007A2115">
        <w:rPr>
          <w:rFonts w:ascii="Arial" w:hAnsi="Arial" w:cs="Arial"/>
          <w:bCs/>
          <w:sz w:val="20"/>
          <w:szCs w:val="20"/>
          <w:lang w:val="es-MX"/>
        </w:rPr>
        <w:t xml:space="preserve">ctica clínica y se encuentra dentro del grupo de antibióticos denominado lincosamidas. Es un antibiótico bacteriostático que tiene actividad biológica contra bacterias especialmente Gram – </w:t>
      </w:r>
      <w:r w:rsidR="001030DB" w:rsidRPr="007A2115">
        <w:rPr>
          <w:rFonts w:ascii="Arial" w:hAnsi="Arial" w:cs="Arial"/>
          <w:bCs/>
          <w:sz w:val="20"/>
          <w:szCs w:val="20"/>
          <w:lang w:val="es-MX"/>
        </w:rPr>
        <w:t>positivas aerobias</w:t>
      </w:r>
      <w:r w:rsidR="00E861B8" w:rsidRPr="007A2115">
        <w:rPr>
          <w:rFonts w:ascii="Arial" w:hAnsi="Arial" w:cs="Arial"/>
          <w:bCs/>
          <w:sz w:val="20"/>
          <w:szCs w:val="20"/>
          <w:lang w:val="es-MX"/>
        </w:rPr>
        <w:t xml:space="preserve"> y anaerobi</w:t>
      </w:r>
      <w:r w:rsidR="001559E8" w:rsidRPr="007A2115">
        <w:rPr>
          <w:rFonts w:ascii="Arial" w:hAnsi="Arial" w:cs="Arial"/>
          <w:bCs/>
          <w:sz w:val="20"/>
          <w:szCs w:val="20"/>
          <w:lang w:val="es-MX"/>
        </w:rPr>
        <w:t>a</w:t>
      </w:r>
      <w:r w:rsidR="00E861B8" w:rsidRPr="007A2115">
        <w:rPr>
          <w:rFonts w:ascii="Arial" w:hAnsi="Arial" w:cs="Arial"/>
          <w:bCs/>
          <w:sz w:val="20"/>
          <w:szCs w:val="20"/>
          <w:lang w:val="es-MX"/>
        </w:rPr>
        <w:t xml:space="preserve">s </w:t>
      </w:r>
      <w:r w:rsidR="00DF75E6" w:rsidRPr="007A2115">
        <w:rPr>
          <w:rFonts w:ascii="Arial" w:hAnsi="Arial" w:cs="Arial"/>
          <w:bCs/>
          <w:sz w:val="20"/>
          <w:szCs w:val="20"/>
          <w:lang w:val="es-MX"/>
        </w:rPr>
        <w:t>y protozoarios</w:t>
      </w:r>
      <w:r w:rsidR="0072622F" w:rsidRPr="007A2115">
        <w:rPr>
          <w:rFonts w:ascii="Arial" w:hAnsi="Arial" w:cs="Arial"/>
          <w:bCs/>
          <w:sz w:val="20"/>
          <w:szCs w:val="20"/>
          <w:lang w:val="es-MX"/>
        </w:rPr>
        <w:t xml:space="preserve">, </w:t>
      </w:r>
      <w:r w:rsidR="00DF75E6" w:rsidRPr="007A2115">
        <w:rPr>
          <w:rFonts w:ascii="Arial" w:hAnsi="Arial" w:cs="Arial"/>
          <w:bCs/>
          <w:sz w:val="20"/>
          <w:szCs w:val="20"/>
          <w:lang w:val="es-MX"/>
        </w:rPr>
        <w:t>a altas concentraciones se considera bactericida. La clindamicina</w:t>
      </w:r>
      <w:r w:rsidR="001C4177" w:rsidRPr="007A2115">
        <w:rPr>
          <w:rFonts w:ascii="Arial" w:hAnsi="Arial" w:cs="Arial"/>
          <w:bCs/>
          <w:sz w:val="20"/>
          <w:szCs w:val="20"/>
          <w:lang w:val="es-MX"/>
        </w:rPr>
        <w:t xml:space="preserve"> es </w:t>
      </w:r>
      <w:r w:rsidR="000B3E5B" w:rsidRPr="007A2115">
        <w:rPr>
          <w:rFonts w:ascii="Arial" w:hAnsi="Arial" w:cs="Arial"/>
          <w:bCs/>
          <w:sz w:val="20"/>
          <w:szCs w:val="20"/>
          <w:lang w:val="es-MX"/>
        </w:rPr>
        <w:t>usualmente mucho</w:t>
      </w:r>
      <w:r w:rsidR="001C4177" w:rsidRPr="007A2115">
        <w:rPr>
          <w:rFonts w:ascii="Arial" w:hAnsi="Arial" w:cs="Arial"/>
          <w:bCs/>
          <w:sz w:val="20"/>
          <w:szCs w:val="20"/>
          <w:lang w:val="es-MX"/>
        </w:rPr>
        <w:t xml:space="preserve"> más efectiva que la lincomicina en el tratamiento de infecciones bacterianas, en particular aquellas causadas por especies anaeróbicas y es también usada para el tratamiento de importantes enfermedades causadas por protozoos como la malaria en combinación con otros principios </w:t>
      </w:r>
      <w:r w:rsidR="003414F1" w:rsidRPr="007A2115">
        <w:rPr>
          <w:rFonts w:ascii="Arial" w:hAnsi="Arial" w:cs="Arial"/>
          <w:bCs/>
          <w:sz w:val="20"/>
          <w:szCs w:val="20"/>
          <w:lang w:val="es-MX"/>
        </w:rPr>
        <w:t>activos como</w:t>
      </w:r>
      <w:r w:rsidR="001C4177" w:rsidRPr="007A2115">
        <w:rPr>
          <w:rFonts w:ascii="Arial" w:hAnsi="Arial" w:cs="Arial"/>
          <w:bCs/>
          <w:sz w:val="20"/>
          <w:szCs w:val="20"/>
          <w:lang w:val="es-MX"/>
        </w:rPr>
        <w:t xml:space="preserve"> primaquina</w:t>
      </w:r>
      <w:r w:rsidR="00B815D0" w:rsidRPr="007A2115">
        <w:rPr>
          <w:rFonts w:ascii="Arial" w:hAnsi="Arial" w:cs="Arial"/>
          <w:bCs/>
          <w:sz w:val="20"/>
          <w:szCs w:val="20"/>
          <w:lang w:val="es-MX"/>
        </w:rPr>
        <w:t>.</w:t>
      </w:r>
    </w:p>
    <w:p w14:paraId="1DD1A836" w14:textId="58D616B1" w:rsidR="00B815D0" w:rsidRPr="007A2115" w:rsidRDefault="00B815D0" w:rsidP="00DF75E6">
      <w:pPr>
        <w:jc w:val="both"/>
        <w:rPr>
          <w:rFonts w:ascii="Arial" w:hAnsi="Arial" w:cs="Arial"/>
          <w:bCs/>
          <w:sz w:val="20"/>
          <w:szCs w:val="20"/>
          <w:lang w:val="es-MX"/>
        </w:rPr>
      </w:pPr>
      <w:r w:rsidRPr="007A2115">
        <w:rPr>
          <w:rFonts w:ascii="Arial" w:hAnsi="Arial" w:cs="Arial"/>
          <w:bCs/>
          <w:sz w:val="20"/>
          <w:szCs w:val="20"/>
          <w:lang w:val="es-MX"/>
        </w:rPr>
        <w:t xml:space="preserve">Clindamicina, es una sustancia blanca </w:t>
      </w:r>
      <w:r w:rsidR="003118A3" w:rsidRPr="007A2115">
        <w:rPr>
          <w:rFonts w:ascii="Arial" w:hAnsi="Arial" w:cs="Arial"/>
          <w:bCs/>
          <w:sz w:val="20"/>
          <w:szCs w:val="20"/>
          <w:lang w:val="es-MX"/>
        </w:rPr>
        <w:t xml:space="preserve">a ligeramente amarilla, que forma sales y esteres con ácidos. Es fácilmente soluble en agua y químicamente es muy estable en estado </w:t>
      </w:r>
      <w:r w:rsidR="00EF1D00" w:rsidRPr="007A2115">
        <w:rPr>
          <w:rFonts w:ascii="Arial" w:hAnsi="Arial" w:cs="Arial"/>
          <w:bCs/>
          <w:sz w:val="20"/>
          <w:szCs w:val="20"/>
          <w:lang w:val="es-MX"/>
        </w:rPr>
        <w:t>seco y</w:t>
      </w:r>
      <w:r w:rsidR="003118A3" w:rsidRPr="007A2115">
        <w:rPr>
          <w:rFonts w:ascii="Arial" w:hAnsi="Arial" w:cs="Arial"/>
          <w:bCs/>
          <w:sz w:val="20"/>
          <w:szCs w:val="20"/>
          <w:lang w:val="es-MX"/>
        </w:rPr>
        <w:t xml:space="preserve"> en solución</w:t>
      </w:r>
      <w:r w:rsidR="00406A33" w:rsidRPr="007A2115">
        <w:rPr>
          <w:rFonts w:ascii="Arial" w:hAnsi="Arial" w:cs="Arial"/>
          <w:bCs/>
          <w:sz w:val="20"/>
          <w:szCs w:val="20"/>
          <w:lang w:val="es-MX"/>
        </w:rPr>
        <w:t>. E</w:t>
      </w:r>
      <w:r w:rsidR="00EF1D00" w:rsidRPr="007A2115">
        <w:rPr>
          <w:rFonts w:ascii="Arial" w:hAnsi="Arial" w:cs="Arial"/>
          <w:bCs/>
          <w:sz w:val="20"/>
          <w:szCs w:val="20"/>
          <w:lang w:val="es-MX"/>
        </w:rPr>
        <w:t>s usada como ester de fosfato.</w:t>
      </w:r>
    </w:p>
    <w:p w14:paraId="386B5298" w14:textId="7CC5FD11" w:rsidR="00EF1D00" w:rsidRPr="007A2115" w:rsidRDefault="00EF1D00" w:rsidP="00DF75E6">
      <w:pPr>
        <w:jc w:val="both"/>
        <w:rPr>
          <w:rFonts w:ascii="Arial" w:hAnsi="Arial" w:cs="Arial"/>
          <w:b/>
          <w:bCs/>
          <w:sz w:val="20"/>
          <w:szCs w:val="20"/>
          <w:lang w:val="es-MX"/>
        </w:rPr>
      </w:pPr>
      <w:r w:rsidRPr="007A2115">
        <w:rPr>
          <w:rFonts w:ascii="Arial" w:hAnsi="Arial" w:cs="Arial"/>
          <w:b/>
          <w:bCs/>
          <w:sz w:val="20"/>
          <w:szCs w:val="20"/>
          <w:lang w:val="es-MX"/>
        </w:rPr>
        <w:t xml:space="preserve">Figura 1. Estructura química de </w:t>
      </w:r>
      <w:r w:rsidR="004435B7" w:rsidRPr="007A2115">
        <w:rPr>
          <w:rFonts w:ascii="Arial" w:hAnsi="Arial" w:cs="Arial"/>
          <w:b/>
          <w:bCs/>
          <w:sz w:val="20"/>
          <w:szCs w:val="20"/>
          <w:lang w:val="es-MX"/>
        </w:rPr>
        <w:t>clindamicina</w:t>
      </w:r>
      <w:r w:rsidRPr="007A2115">
        <w:rPr>
          <w:rFonts w:ascii="Arial" w:hAnsi="Arial" w:cs="Arial"/>
          <w:b/>
          <w:bCs/>
          <w:sz w:val="20"/>
          <w:szCs w:val="20"/>
          <w:lang w:val="es-MX"/>
        </w:rPr>
        <w:t>.</w:t>
      </w:r>
    </w:p>
    <w:p w14:paraId="528A7D3F" w14:textId="77777777" w:rsidR="00BB5682" w:rsidRPr="007A2115" w:rsidRDefault="00BB5682" w:rsidP="00DF75E6">
      <w:pPr>
        <w:jc w:val="both"/>
        <w:rPr>
          <w:rFonts w:ascii="Arial" w:hAnsi="Arial" w:cs="Arial"/>
          <w:b/>
          <w:bCs/>
          <w:sz w:val="20"/>
          <w:szCs w:val="20"/>
          <w:lang w:val="es-MX"/>
        </w:rPr>
      </w:pPr>
    </w:p>
    <w:p w14:paraId="0241A826" w14:textId="43DBB044" w:rsidR="004435B7" w:rsidRPr="007A2115" w:rsidRDefault="004435B7" w:rsidP="004435B7">
      <w:pPr>
        <w:jc w:val="center"/>
        <w:rPr>
          <w:rFonts w:ascii="Arial" w:hAnsi="Arial" w:cs="Arial"/>
          <w:b/>
          <w:bCs/>
          <w:sz w:val="20"/>
          <w:szCs w:val="20"/>
          <w:lang w:val="es-MX"/>
        </w:rPr>
      </w:pPr>
      <w:r w:rsidRPr="007A2115">
        <w:rPr>
          <w:rFonts w:ascii="Arial" w:hAnsi="Arial" w:cs="Arial"/>
          <w:b/>
          <w:bCs/>
          <w:noProof/>
          <w:sz w:val="20"/>
          <w:szCs w:val="20"/>
          <w:lang w:val="es-MX"/>
        </w:rPr>
        <w:lastRenderedPageBreak/>
        <w:drawing>
          <wp:inline distT="0" distB="0" distL="0" distR="0" wp14:anchorId="0DDF188E" wp14:editId="23711267">
            <wp:extent cx="3286760" cy="2009775"/>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760" cy="2009775"/>
                    </a:xfrm>
                    <a:prstGeom prst="rect">
                      <a:avLst/>
                    </a:prstGeom>
                    <a:noFill/>
                    <a:ln>
                      <a:noFill/>
                    </a:ln>
                  </pic:spPr>
                </pic:pic>
              </a:graphicData>
            </a:graphic>
          </wp:inline>
        </w:drawing>
      </w:r>
    </w:p>
    <w:p w14:paraId="0A07371B" w14:textId="3C41F589" w:rsidR="00EF1D00" w:rsidRPr="007A2115" w:rsidRDefault="00EF1D00" w:rsidP="00EF1D00">
      <w:pPr>
        <w:jc w:val="center"/>
        <w:rPr>
          <w:rFonts w:ascii="Arial" w:hAnsi="Arial" w:cs="Arial"/>
          <w:bCs/>
          <w:sz w:val="20"/>
          <w:szCs w:val="20"/>
          <w:lang w:val="es-MX"/>
        </w:rPr>
      </w:pPr>
    </w:p>
    <w:p w14:paraId="351F78E3" w14:textId="22E340FC" w:rsidR="00957003" w:rsidRPr="007A2115" w:rsidRDefault="00305DB0" w:rsidP="00957003">
      <w:pPr>
        <w:jc w:val="both"/>
        <w:rPr>
          <w:rFonts w:ascii="Arial" w:hAnsi="Arial" w:cs="Arial"/>
          <w:bCs/>
          <w:sz w:val="20"/>
          <w:szCs w:val="20"/>
          <w:lang w:val="es-MX"/>
        </w:rPr>
      </w:pPr>
      <w:r w:rsidRPr="007A2115">
        <w:rPr>
          <w:rFonts w:ascii="Arial" w:hAnsi="Arial" w:cs="Arial"/>
          <w:bCs/>
          <w:sz w:val="20"/>
          <w:szCs w:val="20"/>
          <w:lang w:val="es-MX"/>
        </w:rPr>
        <w:t xml:space="preserve">Este antibiótico bloquea la síntesis de proteínas en cepas bacterianas sensibles, inhibiendo la reacción de la peptidiltransferasa sobre la subunidad </w:t>
      </w:r>
      <w:r w:rsidR="00C0738D" w:rsidRPr="007A2115">
        <w:rPr>
          <w:rFonts w:ascii="Arial" w:hAnsi="Arial" w:cs="Arial"/>
          <w:bCs/>
          <w:sz w:val="20"/>
          <w:szCs w:val="20"/>
          <w:lang w:val="es-MX"/>
        </w:rPr>
        <w:t>ribosomal 50S del ribosoma bacterial.</w:t>
      </w:r>
    </w:p>
    <w:p w14:paraId="0340DA18" w14:textId="55B41EE9" w:rsidR="00FF2B66" w:rsidRPr="007A2115" w:rsidRDefault="00FF2B66" w:rsidP="00957003">
      <w:pPr>
        <w:jc w:val="both"/>
        <w:rPr>
          <w:rFonts w:ascii="Arial" w:hAnsi="Arial" w:cs="Arial"/>
          <w:bCs/>
          <w:sz w:val="20"/>
          <w:szCs w:val="20"/>
          <w:lang w:val="es-MX"/>
        </w:rPr>
      </w:pPr>
      <w:r w:rsidRPr="007A2115">
        <w:rPr>
          <w:rFonts w:ascii="Arial" w:hAnsi="Arial" w:cs="Arial"/>
          <w:bCs/>
          <w:sz w:val="20"/>
          <w:szCs w:val="20"/>
          <w:lang w:val="es-MX"/>
        </w:rPr>
        <w:t>La clindamicina oral se absorbe casi por completo,</w:t>
      </w:r>
      <w:r w:rsidR="002A27AC" w:rsidRPr="007A2115">
        <w:rPr>
          <w:rFonts w:ascii="Arial" w:hAnsi="Arial" w:cs="Arial"/>
          <w:bCs/>
          <w:sz w:val="20"/>
          <w:szCs w:val="20"/>
          <w:lang w:val="es-MX"/>
        </w:rPr>
        <w:t xml:space="preserve"> y en el </w:t>
      </w:r>
      <w:r w:rsidR="00AC5F21" w:rsidRPr="007A2115">
        <w:rPr>
          <w:rFonts w:ascii="Arial" w:hAnsi="Arial" w:cs="Arial"/>
          <w:bCs/>
          <w:sz w:val="20"/>
          <w:szCs w:val="20"/>
          <w:lang w:val="es-MX"/>
        </w:rPr>
        <w:t>término</w:t>
      </w:r>
      <w:r w:rsidR="002A27AC" w:rsidRPr="007A2115">
        <w:rPr>
          <w:rFonts w:ascii="Arial" w:hAnsi="Arial" w:cs="Arial"/>
          <w:bCs/>
          <w:sz w:val="20"/>
          <w:szCs w:val="20"/>
          <w:lang w:val="es-MX"/>
        </w:rPr>
        <w:t xml:space="preserve"> de una hora de haber consumido 150mg, se alcanzan cifras plasmáticas máximas de </w:t>
      </w:r>
      <w:r w:rsidR="0046186A" w:rsidRPr="007A2115">
        <w:rPr>
          <w:rFonts w:ascii="Arial" w:hAnsi="Arial" w:cs="Arial"/>
          <w:bCs/>
          <w:sz w:val="20"/>
          <w:szCs w:val="20"/>
          <w:lang w:val="es-MX"/>
        </w:rPr>
        <w:t xml:space="preserve">2 a 3µg/mL. La presencia de alimento en el </w:t>
      </w:r>
      <w:r w:rsidR="00AC5F21" w:rsidRPr="007A2115">
        <w:rPr>
          <w:rFonts w:ascii="Arial" w:hAnsi="Arial" w:cs="Arial"/>
          <w:bCs/>
          <w:sz w:val="20"/>
          <w:szCs w:val="20"/>
          <w:lang w:val="es-MX"/>
        </w:rPr>
        <w:t>estómago</w:t>
      </w:r>
      <w:r w:rsidR="0046186A" w:rsidRPr="007A2115">
        <w:rPr>
          <w:rFonts w:ascii="Arial" w:hAnsi="Arial" w:cs="Arial"/>
          <w:bCs/>
          <w:sz w:val="20"/>
          <w:szCs w:val="20"/>
          <w:lang w:val="es-MX"/>
        </w:rPr>
        <w:t xml:space="preserve"> no disminuye significativamente la absorción. La vida media del antibiótico es de casi 2.9 horas y de este modo, si se administra a intervalos de 6 horas, cabe prever una acumulación pequeña del fármaco.</w:t>
      </w:r>
    </w:p>
    <w:p w14:paraId="44A23AA6" w14:textId="0431CDC2" w:rsidR="0046186A" w:rsidRPr="007A2115" w:rsidRDefault="0046186A" w:rsidP="00957003">
      <w:pPr>
        <w:jc w:val="both"/>
        <w:rPr>
          <w:rFonts w:ascii="Arial" w:hAnsi="Arial" w:cs="Arial"/>
          <w:bCs/>
          <w:sz w:val="20"/>
          <w:szCs w:val="20"/>
          <w:lang w:val="es-MX"/>
        </w:rPr>
      </w:pPr>
      <w:r w:rsidRPr="007A2115">
        <w:rPr>
          <w:rFonts w:ascii="Arial" w:hAnsi="Arial" w:cs="Arial"/>
          <w:bCs/>
          <w:sz w:val="20"/>
          <w:szCs w:val="20"/>
          <w:lang w:val="es-MX"/>
        </w:rPr>
        <w:t>El ester de fosfato de la clindamicina que se administra por vía parenteral también se hidroliza rápidamente in vivo hasta formar el compuesto original activo. Después de inyección intramuscular no se obtienen cifras máximas en plasma antes de 3 horas en adultos, y de 1 hora en niños; las cifras en cuestión son de 6 µg/mL después de una inyección de 300mg y de 9 µg/mL, después de una dosis de 600mg en adultos.</w:t>
      </w:r>
    </w:p>
    <w:p w14:paraId="44609C6B" w14:textId="2618D31D" w:rsidR="003C7FBE" w:rsidRPr="007A2115" w:rsidRDefault="003C7FBE" w:rsidP="00957003">
      <w:pPr>
        <w:jc w:val="both"/>
        <w:rPr>
          <w:rFonts w:ascii="Arial" w:hAnsi="Arial" w:cs="Arial"/>
          <w:bCs/>
          <w:sz w:val="20"/>
          <w:szCs w:val="20"/>
          <w:lang w:val="es-MX"/>
        </w:rPr>
      </w:pPr>
      <w:r w:rsidRPr="007A2115">
        <w:rPr>
          <w:rFonts w:ascii="Arial" w:hAnsi="Arial" w:cs="Arial"/>
          <w:bCs/>
          <w:sz w:val="20"/>
          <w:szCs w:val="20"/>
          <w:lang w:val="es-MX"/>
        </w:rPr>
        <w:t xml:space="preserve">La clindamicina se distribuye ampliamente en muchos líquidos y tejidos corporales incluidos los huesos, pero no se alcanzan concentraciones notables en líquido cefalorraquídeo a pesar de estar inflamadas las meninges. El fármaco cruza fácilmente la barrera placentaria. Se sabe que el 90% o más de clindamicina se liga a proteínas plasmáticas. Este medicamento se acumula en polimorfonucleares y macrófagos alveolares, y también en los </w:t>
      </w:r>
      <w:r w:rsidR="006B416F" w:rsidRPr="007A2115">
        <w:rPr>
          <w:rFonts w:ascii="Arial" w:hAnsi="Arial" w:cs="Arial"/>
          <w:bCs/>
          <w:sz w:val="20"/>
          <w:szCs w:val="20"/>
          <w:lang w:val="es-MX"/>
        </w:rPr>
        <w:t>abscesos</w:t>
      </w:r>
      <w:r w:rsidRPr="007A2115">
        <w:rPr>
          <w:rFonts w:ascii="Arial" w:hAnsi="Arial" w:cs="Arial"/>
          <w:bCs/>
          <w:sz w:val="20"/>
          <w:szCs w:val="20"/>
          <w:lang w:val="es-MX"/>
        </w:rPr>
        <w:t>.</w:t>
      </w:r>
    </w:p>
    <w:p w14:paraId="05AF3777" w14:textId="5DB01F3F" w:rsidR="0046186A" w:rsidRPr="007A2115" w:rsidRDefault="003C7FBE" w:rsidP="00957003">
      <w:pPr>
        <w:jc w:val="both"/>
        <w:rPr>
          <w:rFonts w:ascii="Arial" w:hAnsi="Arial" w:cs="Arial"/>
          <w:bCs/>
          <w:sz w:val="20"/>
          <w:szCs w:val="20"/>
          <w:lang w:val="es-MX"/>
        </w:rPr>
      </w:pPr>
      <w:r w:rsidRPr="007A2115">
        <w:rPr>
          <w:rFonts w:ascii="Arial" w:hAnsi="Arial" w:cs="Arial"/>
          <w:bCs/>
          <w:sz w:val="20"/>
          <w:szCs w:val="20"/>
          <w:lang w:val="es-MX"/>
        </w:rPr>
        <w:t xml:space="preserve"> </w:t>
      </w:r>
      <w:r w:rsidR="00FF2230" w:rsidRPr="007A2115">
        <w:rPr>
          <w:rFonts w:ascii="Arial" w:hAnsi="Arial" w:cs="Arial"/>
          <w:bCs/>
          <w:sz w:val="20"/>
          <w:szCs w:val="20"/>
          <w:lang w:val="es-MX"/>
        </w:rPr>
        <w:t>Solo alrededor del 10% de la clindamicina administrada se excreta intacta por la orina</w:t>
      </w:r>
      <w:r w:rsidR="00E2571B" w:rsidRPr="007A2115">
        <w:rPr>
          <w:rFonts w:ascii="Arial" w:hAnsi="Arial" w:cs="Arial"/>
          <w:bCs/>
          <w:sz w:val="20"/>
          <w:szCs w:val="20"/>
          <w:lang w:val="es-MX"/>
        </w:rPr>
        <w:t>; en heces se hallan cantidades pequeñas. Sin embargo, su actividad antimicrobiana persiste en los excrementos durante cinco días o más después de interrumpir la aplicación parenteral; la proliferación de microorganismos sensibles a clindamicina en el contenido del colon puede continuar suprimida incluso durante dos semanas.</w:t>
      </w:r>
    </w:p>
    <w:p w14:paraId="63BD6388" w14:textId="24145733" w:rsidR="00E2571B" w:rsidRPr="007A2115" w:rsidRDefault="00E2571B" w:rsidP="00957003">
      <w:pPr>
        <w:jc w:val="both"/>
        <w:rPr>
          <w:rFonts w:ascii="Arial" w:hAnsi="Arial" w:cs="Arial"/>
          <w:bCs/>
          <w:sz w:val="20"/>
          <w:szCs w:val="20"/>
          <w:lang w:val="es-MX"/>
        </w:rPr>
      </w:pPr>
      <w:r w:rsidRPr="007A2115">
        <w:rPr>
          <w:rFonts w:ascii="Arial" w:hAnsi="Arial" w:cs="Arial"/>
          <w:bCs/>
          <w:sz w:val="20"/>
          <w:szCs w:val="20"/>
          <w:lang w:val="es-MX"/>
        </w:rPr>
        <w:t xml:space="preserve">Es inactivada por metabolismo hasta la formación de N -demetilclindamicina y sulfóxido de </w:t>
      </w:r>
      <w:r w:rsidR="00707CF2" w:rsidRPr="007A2115">
        <w:rPr>
          <w:rFonts w:ascii="Arial" w:hAnsi="Arial" w:cs="Arial"/>
          <w:bCs/>
          <w:sz w:val="20"/>
          <w:szCs w:val="20"/>
          <w:lang w:val="es-MX"/>
        </w:rPr>
        <w:t>clindamicina</w:t>
      </w:r>
      <w:r w:rsidRPr="007A2115">
        <w:rPr>
          <w:rFonts w:ascii="Arial" w:hAnsi="Arial" w:cs="Arial"/>
          <w:bCs/>
          <w:sz w:val="20"/>
          <w:szCs w:val="20"/>
          <w:lang w:val="es-MX"/>
        </w:rPr>
        <w:t xml:space="preserve"> que se excretan por orina y bilis. La acumulación del </w:t>
      </w:r>
      <w:r w:rsidR="006B416F" w:rsidRPr="007A2115">
        <w:rPr>
          <w:rFonts w:ascii="Arial" w:hAnsi="Arial" w:cs="Arial"/>
          <w:bCs/>
          <w:sz w:val="20"/>
          <w:szCs w:val="20"/>
          <w:lang w:val="es-MX"/>
        </w:rPr>
        <w:t>antibiótico</w:t>
      </w:r>
      <w:r w:rsidRPr="007A2115">
        <w:rPr>
          <w:rFonts w:ascii="Arial" w:hAnsi="Arial" w:cs="Arial"/>
          <w:bCs/>
          <w:sz w:val="20"/>
          <w:szCs w:val="20"/>
          <w:lang w:val="es-MX"/>
        </w:rPr>
        <w:t xml:space="preserve"> se observa en individuos con insuficiencia hepática grave y, en estos casos, se necesita ajuste de dosis.</w:t>
      </w:r>
    </w:p>
    <w:p w14:paraId="7E8735D8" w14:textId="663A2E7A" w:rsidR="00D4339D" w:rsidRPr="007A2115" w:rsidRDefault="00D4339D" w:rsidP="00957003">
      <w:pPr>
        <w:jc w:val="both"/>
        <w:rPr>
          <w:rFonts w:ascii="Arial" w:hAnsi="Arial" w:cs="Arial"/>
          <w:bCs/>
          <w:sz w:val="20"/>
          <w:szCs w:val="20"/>
          <w:lang w:val="es-MX"/>
        </w:rPr>
      </w:pPr>
      <w:r w:rsidRPr="007A2115">
        <w:rPr>
          <w:rFonts w:ascii="Arial" w:hAnsi="Arial" w:cs="Arial"/>
          <w:bCs/>
          <w:sz w:val="20"/>
          <w:szCs w:val="20"/>
          <w:lang w:val="es-MX"/>
        </w:rPr>
        <w:t xml:space="preserve">En cuanto a eventos adversos, la incidencia reportada </w:t>
      </w:r>
      <w:r w:rsidR="0034209C" w:rsidRPr="007A2115">
        <w:rPr>
          <w:rFonts w:ascii="Arial" w:hAnsi="Arial" w:cs="Arial"/>
          <w:bCs/>
          <w:sz w:val="20"/>
          <w:szCs w:val="20"/>
          <w:lang w:val="es-MX"/>
        </w:rPr>
        <w:t xml:space="preserve">de diarrea por la administración de clindamicina varia de 2 al 20%. Un número de pacientes (que según algunos señalamientos es de 0.01 a 10%) ha presentado colitis pseudomembranosa por una toxina de </w:t>
      </w:r>
      <w:r w:rsidR="0034209C" w:rsidRPr="007A2115">
        <w:rPr>
          <w:rFonts w:ascii="Arial" w:hAnsi="Arial" w:cs="Arial"/>
          <w:bCs/>
          <w:i/>
          <w:sz w:val="20"/>
          <w:szCs w:val="20"/>
          <w:lang w:val="es-MX"/>
        </w:rPr>
        <w:t xml:space="preserve">C. difficile; </w:t>
      </w:r>
      <w:r w:rsidR="0034209C" w:rsidRPr="007A2115">
        <w:rPr>
          <w:rFonts w:ascii="Arial" w:hAnsi="Arial" w:cs="Arial"/>
          <w:bCs/>
          <w:sz w:val="20"/>
          <w:szCs w:val="20"/>
          <w:lang w:val="es-MX"/>
        </w:rPr>
        <w:t xml:space="preserve">dicha colitis se caracterizó por dolor abdominal, diarrea, fiebre, moco y sangre en heces. En la exploración proctoscópica se adviertes placas blancas o amarillentas en la mucosa del colon. Este síndrome </w:t>
      </w:r>
      <w:r w:rsidR="0034209C" w:rsidRPr="007A2115">
        <w:rPr>
          <w:rFonts w:ascii="Arial" w:hAnsi="Arial" w:cs="Arial"/>
          <w:bCs/>
          <w:sz w:val="20"/>
          <w:szCs w:val="20"/>
          <w:lang w:val="es-MX"/>
        </w:rPr>
        <w:lastRenderedPageBreak/>
        <w:t>puede ser letal. Por lo común se cura, al interrumpir el uso del fármaco, junto con la ingestión de metronidazol por vías oral e intravenosa, pero se sabe de recidivas. En el 10% de los pacientes tratados con clindamicina (aproximadamente), pueden surgir erupciones cutáneas y, a veces, son más comunes en individuos con infección del virus de inmuno</w:t>
      </w:r>
      <w:r w:rsidR="00413E51" w:rsidRPr="007A2115">
        <w:rPr>
          <w:rFonts w:ascii="Arial" w:hAnsi="Arial" w:cs="Arial"/>
          <w:bCs/>
          <w:sz w:val="20"/>
          <w:szCs w:val="20"/>
          <w:lang w:val="es-MX"/>
        </w:rPr>
        <w:t>deficiencia</w:t>
      </w:r>
      <w:r w:rsidR="0034209C" w:rsidRPr="007A2115">
        <w:rPr>
          <w:rFonts w:ascii="Arial" w:hAnsi="Arial" w:cs="Arial"/>
          <w:bCs/>
          <w:sz w:val="20"/>
          <w:szCs w:val="20"/>
          <w:lang w:val="es-MX"/>
        </w:rPr>
        <w:t xml:space="preserve"> humana (VIH).</w:t>
      </w:r>
      <w:r w:rsidR="00921073" w:rsidRPr="007A2115">
        <w:rPr>
          <w:rFonts w:ascii="Arial" w:hAnsi="Arial" w:cs="Arial"/>
          <w:bCs/>
          <w:sz w:val="20"/>
          <w:szCs w:val="20"/>
          <w:lang w:val="es-MX"/>
        </w:rPr>
        <w:t xml:space="preserve"> Otras </w:t>
      </w:r>
      <w:r w:rsidR="00413E51" w:rsidRPr="007A2115">
        <w:rPr>
          <w:rFonts w:ascii="Arial" w:hAnsi="Arial" w:cs="Arial"/>
          <w:bCs/>
          <w:sz w:val="20"/>
          <w:szCs w:val="20"/>
          <w:lang w:val="es-MX"/>
        </w:rPr>
        <w:t>reacciones</w:t>
      </w:r>
      <w:r w:rsidR="00921073" w:rsidRPr="007A2115">
        <w:rPr>
          <w:rFonts w:ascii="Arial" w:hAnsi="Arial" w:cs="Arial"/>
          <w:bCs/>
          <w:sz w:val="20"/>
          <w:szCs w:val="20"/>
          <w:lang w:val="es-MX"/>
        </w:rPr>
        <w:t xml:space="preserve"> poco habituales, incluyen eritema multiforme exudativo (</w:t>
      </w:r>
      <w:r w:rsidR="00413E51" w:rsidRPr="007A2115">
        <w:rPr>
          <w:rFonts w:ascii="Arial" w:hAnsi="Arial" w:cs="Arial"/>
          <w:bCs/>
          <w:sz w:val="20"/>
          <w:szCs w:val="20"/>
          <w:lang w:val="es-MX"/>
        </w:rPr>
        <w:t>Síndrome</w:t>
      </w:r>
      <w:r w:rsidR="00921073" w:rsidRPr="007A2115">
        <w:rPr>
          <w:rFonts w:ascii="Arial" w:hAnsi="Arial" w:cs="Arial"/>
          <w:bCs/>
          <w:sz w:val="20"/>
          <w:szCs w:val="20"/>
          <w:lang w:val="es-MX"/>
        </w:rPr>
        <w:t xml:space="preserve"> de Stevens - Johnson), incremento reversible de la aminotransferasa de aspartato y la aminotransferasa de alanina, granulocitopenia, trombocitopenia y reacciones anafilácticas. Después de la administración intravenosa del fármaco, puede haber tromboflebitis local. La clindamicina inhibe la función neuromuscular y puede potenciar el efecto de algún compuesto de bloqueo neuromuscular que se administra en forma </w:t>
      </w:r>
      <w:r w:rsidR="00413E51" w:rsidRPr="007A2115">
        <w:rPr>
          <w:rFonts w:ascii="Arial" w:hAnsi="Arial" w:cs="Arial"/>
          <w:bCs/>
          <w:sz w:val="20"/>
          <w:szCs w:val="20"/>
          <w:lang w:val="es-MX"/>
        </w:rPr>
        <w:t>simultánea</w:t>
      </w:r>
      <w:r w:rsidR="00921073" w:rsidRPr="007A2115">
        <w:rPr>
          <w:rFonts w:ascii="Arial" w:hAnsi="Arial" w:cs="Arial"/>
          <w:bCs/>
          <w:sz w:val="20"/>
          <w:szCs w:val="20"/>
          <w:lang w:val="es-MX"/>
        </w:rPr>
        <w:t>.</w:t>
      </w:r>
    </w:p>
    <w:p w14:paraId="263CBEB1" w14:textId="3D945243" w:rsidR="00856AAB" w:rsidRPr="007A2115" w:rsidRDefault="005A2D5F" w:rsidP="00901553">
      <w:pPr>
        <w:jc w:val="both"/>
        <w:rPr>
          <w:rFonts w:ascii="Arial" w:hAnsi="Arial" w:cs="Arial"/>
          <w:bCs/>
          <w:sz w:val="20"/>
          <w:szCs w:val="20"/>
          <w:lang w:val="es-MX"/>
        </w:rPr>
      </w:pPr>
      <w:r>
        <w:rPr>
          <w:rFonts w:ascii="Arial" w:hAnsi="Arial" w:cs="Arial"/>
          <w:color w:val="000000"/>
          <w:sz w:val="20"/>
          <w:szCs w:val="20"/>
        </w:rPr>
        <w:t>La lesión</w:t>
      </w:r>
      <w:r w:rsidRPr="007A2115">
        <w:rPr>
          <w:rFonts w:ascii="Arial" w:hAnsi="Arial" w:cs="Arial"/>
          <w:color w:val="000000"/>
          <w:sz w:val="20"/>
          <w:szCs w:val="20"/>
        </w:rPr>
        <w:t xml:space="preserve"> renal agud</w:t>
      </w:r>
      <w:r>
        <w:rPr>
          <w:rFonts w:ascii="Arial" w:hAnsi="Arial" w:cs="Arial"/>
          <w:color w:val="000000"/>
          <w:sz w:val="20"/>
          <w:szCs w:val="20"/>
        </w:rPr>
        <w:t>a</w:t>
      </w:r>
      <w:r w:rsidR="00206E1B" w:rsidRPr="007A2115">
        <w:rPr>
          <w:rFonts w:ascii="Arial" w:hAnsi="Arial" w:cs="Arial"/>
          <w:bCs/>
          <w:sz w:val="20"/>
          <w:szCs w:val="20"/>
          <w:lang w:val="es-MX"/>
        </w:rPr>
        <w:t>, es definid</w:t>
      </w:r>
      <w:r w:rsidR="00BE10F3">
        <w:rPr>
          <w:rFonts w:ascii="Arial" w:hAnsi="Arial" w:cs="Arial"/>
          <w:bCs/>
          <w:sz w:val="20"/>
          <w:szCs w:val="20"/>
          <w:lang w:val="es-MX"/>
        </w:rPr>
        <w:t>a</w:t>
      </w:r>
      <w:r w:rsidR="00862EDE" w:rsidRPr="007A2115">
        <w:rPr>
          <w:rFonts w:ascii="Arial" w:hAnsi="Arial" w:cs="Arial"/>
          <w:bCs/>
          <w:sz w:val="20"/>
          <w:szCs w:val="20"/>
          <w:lang w:val="es-MX"/>
        </w:rPr>
        <w:t xml:space="preserve"> </w:t>
      </w:r>
      <w:r w:rsidR="00206E1B" w:rsidRPr="007A2115">
        <w:rPr>
          <w:rFonts w:ascii="Arial" w:hAnsi="Arial" w:cs="Arial"/>
          <w:bCs/>
          <w:sz w:val="20"/>
          <w:szCs w:val="20"/>
          <w:lang w:val="es-MX"/>
        </w:rPr>
        <w:t xml:space="preserve">como la rápida disminución de la función excretora del </w:t>
      </w:r>
      <w:r w:rsidR="009B1251" w:rsidRPr="007A2115">
        <w:rPr>
          <w:rFonts w:ascii="Arial" w:hAnsi="Arial" w:cs="Arial"/>
          <w:bCs/>
          <w:sz w:val="20"/>
          <w:szCs w:val="20"/>
          <w:lang w:val="es-MX"/>
        </w:rPr>
        <w:t>riñón</w:t>
      </w:r>
      <w:r w:rsidR="00206E1B" w:rsidRPr="007A2115">
        <w:rPr>
          <w:rFonts w:ascii="Arial" w:hAnsi="Arial" w:cs="Arial"/>
          <w:bCs/>
          <w:sz w:val="20"/>
          <w:szCs w:val="20"/>
          <w:lang w:val="es-MX"/>
        </w:rPr>
        <w:t xml:space="preserve">, con retención de </w:t>
      </w:r>
      <w:r w:rsidR="009B1251" w:rsidRPr="007A2115">
        <w:rPr>
          <w:rFonts w:ascii="Arial" w:hAnsi="Arial" w:cs="Arial"/>
          <w:bCs/>
          <w:sz w:val="20"/>
          <w:szCs w:val="20"/>
          <w:lang w:val="es-MX"/>
        </w:rPr>
        <w:t>residuos</w:t>
      </w:r>
      <w:r w:rsidR="00206E1B" w:rsidRPr="007A2115">
        <w:rPr>
          <w:rFonts w:ascii="Arial" w:hAnsi="Arial" w:cs="Arial"/>
          <w:bCs/>
          <w:sz w:val="20"/>
          <w:szCs w:val="20"/>
          <w:lang w:val="es-MX"/>
        </w:rPr>
        <w:t xml:space="preserve"> </w:t>
      </w:r>
      <w:r w:rsidR="009B1251" w:rsidRPr="007A2115">
        <w:rPr>
          <w:rFonts w:ascii="Arial" w:hAnsi="Arial" w:cs="Arial"/>
          <w:bCs/>
          <w:sz w:val="20"/>
          <w:szCs w:val="20"/>
          <w:lang w:val="es-MX"/>
        </w:rPr>
        <w:t xml:space="preserve">nitrogenados (urea y creatinina) y residuos </w:t>
      </w:r>
      <w:r w:rsidR="00862EDE" w:rsidRPr="007A2115">
        <w:rPr>
          <w:rFonts w:ascii="Arial" w:hAnsi="Arial" w:cs="Arial"/>
          <w:bCs/>
          <w:sz w:val="20"/>
          <w:szCs w:val="20"/>
          <w:lang w:val="es-MX"/>
        </w:rPr>
        <w:t>no nitrogenados</w:t>
      </w:r>
      <w:r w:rsidR="009B1251" w:rsidRPr="007A2115">
        <w:rPr>
          <w:rFonts w:ascii="Arial" w:hAnsi="Arial" w:cs="Arial"/>
          <w:bCs/>
          <w:sz w:val="20"/>
          <w:szCs w:val="20"/>
          <w:lang w:val="es-MX"/>
        </w:rPr>
        <w:t>.</w:t>
      </w:r>
      <w:r w:rsidR="00862EDE" w:rsidRPr="007A2115">
        <w:rPr>
          <w:rFonts w:ascii="Arial" w:hAnsi="Arial" w:cs="Arial"/>
          <w:bCs/>
          <w:sz w:val="20"/>
          <w:szCs w:val="20"/>
          <w:lang w:val="es-MX"/>
        </w:rPr>
        <w:t xml:space="preserve"> Es una condición grave que puede llevar al paciente al riesgo de desarrollar enfermedad renal</w:t>
      </w:r>
      <w:r w:rsidR="00BD10D9">
        <w:rPr>
          <w:rFonts w:ascii="Arial" w:hAnsi="Arial" w:cs="Arial"/>
          <w:bCs/>
          <w:sz w:val="20"/>
          <w:szCs w:val="20"/>
          <w:lang w:val="es-MX"/>
        </w:rPr>
        <w:t xml:space="preserve"> crónica</w:t>
      </w:r>
      <w:r w:rsidR="00862EDE" w:rsidRPr="007A2115">
        <w:rPr>
          <w:rFonts w:ascii="Arial" w:hAnsi="Arial" w:cs="Arial"/>
          <w:bCs/>
          <w:sz w:val="20"/>
          <w:szCs w:val="20"/>
          <w:lang w:val="es-MX"/>
        </w:rPr>
        <w:t>, dependencia a procedimientos con diálisis y alta mortalidad.</w:t>
      </w:r>
      <w:r w:rsidR="00CA341A" w:rsidRPr="007A2115">
        <w:rPr>
          <w:rFonts w:ascii="Arial" w:hAnsi="Arial" w:cs="Arial"/>
          <w:bCs/>
          <w:sz w:val="20"/>
          <w:szCs w:val="20"/>
          <w:lang w:val="es-MX"/>
        </w:rPr>
        <w:t xml:space="preserve"> </w:t>
      </w:r>
      <w:r w:rsidR="000354AA" w:rsidRPr="007A2115">
        <w:rPr>
          <w:rFonts w:ascii="Arial" w:hAnsi="Arial" w:cs="Arial"/>
          <w:bCs/>
          <w:sz w:val="20"/>
          <w:szCs w:val="20"/>
          <w:lang w:val="es-MX"/>
        </w:rPr>
        <w:t xml:space="preserve">A diferencia de otro tipo de antibióticos como los betalactámicos, aciclovir, aminoglucósidos y anfotericina, la clindamicina rara vez ha estado asociada con </w:t>
      </w:r>
      <w:r w:rsidR="00FD468C">
        <w:rPr>
          <w:rFonts w:ascii="Arial" w:hAnsi="Arial" w:cs="Arial"/>
          <w:color w:val="000000"/>
          <w:sz w:val="20"/>
          <w:szCs w:val="20"/>
        </w:rPr>
        <w:t>lesión</w:t>
      </w:r>
      <w:r w:rsidR="00FD468C" w:rsidRPr="007A2115">
        <w:rPr>
          <w:rFonts w:ascii="Arial" w:hAnsi="Arial" w:cs="Arial"/>
          <w:color w:val="000000"/>
          <w:sz w:val="20"/>
          <w:szCs w:val="20"/>
        </w:rPr>
        <w:t xml:space="preserve"> renal agud</w:t>
      </w:r>
      <w:r w:rsidR="00FD468C">
        <w:rPr>
          <w:rFonts w:ascii="Arial" w:hAnsi="Arial" w:cs="Arial"/>
          <w:color w:val="000000"/>
          <w:sz w:val="20"/>
          <w:szCs w:val="20"/>
        </w:rPr>
        <w:t>a</w:t>
      </w:r>
      <w:r w:rsidR="000354AA" w:rsidRPr="007A2115">
        <w:rPr>
          <w:rFonts w:ascii="Arial" w:hAnsi="Arial" w:cs="Arial"/>
          <w:bCs/>
          <w:sz w:val="20"/>
          <w:szCs w:val="20"/>
          <w:lang w:val="es-MX"/>
        </w:rPr>
        <w:t>. Sin embargo, en la actualidad, se han reportado c</w:t>
      </w:r>
      <w:r w:rsidR="00CA341A" w:rsidRPr="007A2115">
        <w:rPr>
          <w:rFonts w:ascii="Arial" w:hAnsi="Arial" w:cs="Arial"/>
          <w:bCs/>
          <w:sz w:val="20"/>
          <w:szCs w:val="20"/>
          <w:lang w:val="es-MX"/>
        </w:rPr>
        <w:t xml:space="preserve">asos de </w:t>
      </w:r>
      <w:r w:rsidR="001F4BC7">
        <w:rPr>
          <w:rFonts w:ascii="Arial" w:hAnsi="Arial" w:cs="Arial"/>
          <w:color w:val="000000"/>
          <w:sz w:val="20"/>
          <w:szCs w:val="20"/>
        </w:rPr>
        <w:t>lesión</w:t>
      </w:r>
      <w:r w:rsidR="001F4BC7" w:rsidRPr="007A2115">
        <w:rPr>
          <w:rFonts w:ascii="Arial" w:hAnsi="Arial" w:cs="Arial"/>
          <w:color w:val="000000"/>
          <w:sz w:val="20"/>
          <w:szCs w:val="20"/>
        </w:rPr>
        <w:t xml:space="preserve"> renal agud</w:t>
      </w:r>
      <w:r w:rsidR="001F4BC7">
        <w:rPr>
          <w:rFonts w:ascii="Arial" w:hAnsi="Arial" w:cs="Arial"/>
          <w:color w:val="000000"/>
          <w:sz w:val="20"/>
          <w:szCs w:val="20"/>
        </w:rPr>
        <w:t>a</w:t>
      </w:r>
      <w:r w:rsidR="00CA341A" w:rsidRPr="007A2115">
        <w:rPr>
          <w:rFonts w:ascii="Arial" w:hAnsi="Arial" w:cs="Arial"/>
          <w:bCs/>
          <w:sz w:val="20"/>
          <w:szCs w:val="20"/>
          <w:lang w:val="es-MX"/>
        </w:rPr>
        <w:t xml:space="preserve"> </w:t>
      </w:r>
      <w:r w:rsidR="000354AA" w:rsidRPr="007A2115">
        <w:rPr>
          <w:rFonts w:ascii="Arial" w:hAnsi="Arial" w:cs="Arial"/>
          <w:bCs/>
          <w:sz w:val="20"/>
          <w:szCs w:val="20"/>
          <w:lang w:val="es-MX"/>
        </w:rPr>
        <w:t>poco frecuentes</w:t>
      </w:r>
      <w:r w:rsidR="00CA341A" w:rsidRPr="007A2115">
        <w:rPr>
          <w:rFonts w:ascii="Arial" w:hAnsi="Arial" w:cs="Arial"/>
          <w:bCs/>
          <w:sz w:val="20"/>
          <w:szCs w:val="20"/>
          <w:lang w:val="es-MX"/>
        </w:rPr>
        <w:t xml:space="preserve">, </w:t>
      </w:r>
      <w:r w:rsidR="000354AA" w:rsidRPr="007A2115">
        <w:rPr>
          <w:rFonts w:ascii="Arial" w:hAnsi="Arial" w:cs="Arial"/>
          <w:bCs/>
          <w:sz w:val="20"/>
          <w:szCs w:val="20"/>
          <w:lang w:val="es-MX"/>
        </w:rPr>
        <w:t>durante el tratamiento prolongado con clindamicina</w:t>
      </w:r>
      <w:r w:rsidR="007A7F4B" w:rsidRPr="007A2115">
        <w:rPr>
          <w:rFonts w:ascii="Arial" w:hAnsi="Arial" w:cs="Arial"/>
          <w:bCs/>
          <w:sz w:val="20"/>
          <w:szCs w:val="20"/>
          <w:lang w:val="es-MX"/>
        </w:rPr>
        <w:t xml:space="preserve"> principalmente en pacientes mayores con </w:t>
      </w:r>
      <w:r w:rsidR="006B66C0" w:rsidRPr="007A2115">
        <w:rPr>
          <w:rFonts w:ascii="Arial" w:hAnsi="Arial" w:cs="Arial"/>
          <w:bCs/>
          <w:sz w:val="20"/>
          <w:szCs w:val="20"/>
          <w:lang w:val="es-MX"/>
        </w:rPr>
        <w:t>enfermedad renal crónica o diabetes.</w:t>
      </w:r>
    </w:p>
    <w:p w14:paraId="75409F3A" w14:textId="5E91000B" w:rsidR="008A21CF" w:rsidRPr="007A2115" w:rsidRDefault="008A21CF" w:rsidP="00901553">
      <w:pPr>
        <w:jc w:val="both"/>
        <w:rPr>
          <w:rFonts w:ascii="Arial" w:hAnsi="Arial" w:cs="Arial"/>
          <w:bCs/>
          <w:sz w:val="20"/>
          <w:szCs w:val="20"/>
          <w:lang w:val="es-MX"/>
        </w:rPr>
      </w:pPr>
      <w:r w:rsidRPr="007A2115">
        <w:rPr>
          <w:rFonts w:ascii="Arial" w:hAnsi="Arial" w:cs="Arial"/>
          <w:bCs/>
          <w:sz w:val="20"/>
          <w:szCs w:val="20"/>
          <w:lang w:val="es-MX"/>
        </w:rPr>
        <w:t>Por último, revisada la base de datos de Vigliflow®</w:t>
      </w:r>
      <w:r w:rsidR="00345C8F" w:rsidRPr="007A2115">
        <w:rPr>
          <w:rFonts w:ascii="Arial" w:hAnsi="Arial" w:cs="Arial"/>
          <w:bCs/>
          <w:sz w:val="20"/>
          <w:szCs w:val="20"/>
          <w:lang w:val="es-MX"/>
        </w:rPr>
        <w:t xml:space="preserve"> </w:t>
      </w:r>
      <w:r w:rsidR="00F83CCB">
        <w:rPr>
          <w:rFonts w:ascii="Arial" w:hAnsi="Arial" w:cs="Arial"/>
          <w:bCs/>
          <w:sz w:val="20"/>
          <w:szCs w:val="20"/>
          <w:lang w:val="es-MX"/>
        </w:rPr>
        <w:t>para</w:t>
      </w:r>
      <w:r w:rsidR="00345C8F" w:rsidRPr="007A2115">
        <w:rPr>
          <w:rFonts w:ascii="Arial" w:hAnsi="Arial" w:cs="Arial"/>
          <w:bCs/>
          <w:sz w:val="20"/>
          <w:szCs w:val="20"/>
          <w:lang w:val="es-MX"/>
        </w:rPr>
        <w:t xml:space="preserve"> el año </w:t>
      </w:r>
      <w:r w:rsidR="00D56614" w:rsidRPr="007A2115">
        <w:rPr>
          <w:rFonts w:ascii="Arial" w:hAnsi="Arial" w:cs="Arial"/>
          <w:bCs/>
          <w:sz w:val="20"/>
          <w:szCs w:val="20"/>
          <w:lang w:val="es-MX"/>
        </w:rPr>
        <w:t xml:space="preserve">2022 </w:t>
      </w:r>
      <w:r w:rsidR="00D56614">
        <w:rPr>
          <w:rFonts w:ascii="Arial" w:hAnsi="Arial" w:cs="Arial"/>
          <w:bCs/>
          <w:sz w:val="20"/>
          <w:szCs w:val="20"/>
          <w:lang w:val="es-MX"/>
        </w:rPr>
        <w:t>-</w:t>
      </w:r>
      <w:r w:rsidR="00F83CCB">
        <w:rPr>
          <w:rFonts w:ascii="Arial" w:hAnsi="Arial" w:cs="Arial"/>
          <w:bCs/>
          <w:sz w:val="20"/>
          <w:szCs w:val="20"/>
          <w:lang w:val="es-MX"/>
        </w:rPr>
        <w:t xml:space="preserve"> 2023</w:t>
      </w:r>
      <w:r w:rsidRPr="007A2115">
        <w:rPr>
          <w:rFonts w:ascii="Arial" w:hAnsi="Arial" w:cs="Arial"/>
          <w:bCs/>
          <w:sz w:val="20"/>
          <w:szCs w:val="20"/>
          <w:lang w:val="es-MX"/>
        </w:rPr>
        <w:t xml:space="preserve">, fue posible determinar </w:t>
      </w:r>
      <w:r w:rsidR="001C5EDA">
        <w:rPr>
          <w:rFonts w:ascii="Arial" w:hAnsi="Arial" w:cs="Arial"/>
          <w:bCs/>
          <w:sz w:val="20"/>
          <w:szCs w:val="20"/>
          <w:lang w:val="es-MX"/>
        </w:rPr>
        <w:t xml:space="preserve">un </w:t>
      </w:r>
      <w:r w:rsidR="001C5EDA" w:rsidRPr="007A2115">
        <w:rPr>
          <w:rFonts w:ascii="Arial" w:hAnsi="Arial" w:cs="Arial"/>
          <w:bCs/>
          <w:sz w:val="20"/>
          <w:szCs w:val="20"/>
          <w:lang w:val="es-MX"/>
        </w:rPr>
        <w:t>caso</w:t>
      </w:r>
      <w:r w:rsidRPr="007A2115">
        <w:rPr>
          <w:rFonts w:ascii="Arial" w:hAnsi="Arial" w:cs="Arial"/>
          <w:bCs/>
          <w:sz w:val="20"/>
          <w:szCs w:val="20"/>
          <w:lang w:val="es-MX"/>
        </w:rPr>
        <w:t xml:space="preserve"> donde se report</w:t>
      </w:r>
      <w:r w:rsidR="0041476E">
        <w:rPr>
          <w:rFonts w:ascii="Arial" w:hAnsi="Arial" w:cs="Arial"/>
          <w:bCs/>
          <w:sz w:val="20"/>
          <w:szCs w:val="20"/>
          <w:lang w:val="es-MX"/>
        </w:rPr>
        <w:t>ó</w:t>
      </w:r>
      <w:r w:rsidRPr="007A2115">
        <w:rPr>
          <w:rFonts w:ascii="Arial" w:hAnsi="Arial" w:cs="Arial"/>
          <w:bCs/>
          <w:sz w:val="20"/>
          <w:szCs w:val="20"/>
          <w:lang w:val="es-MX"/>
        </w:rPr>
        <w:t xml:space="preserve"> como evento adverso, edema</w:t>
      </w:r>
      <w:r w:rsidR="0076646F">
        <w:rPr>
          <w:rFonts w:ascii="Arial" w:hAnsi="Arial" w:cs="Arial"/>
          <w:bCs/>
          <w:sz w:val="20"/>
          <w:szCs w:val="20"/>
          <w:lang w:val="es-MX"/>
        </w:rPr>
        <w:t>;</w:t>
      </w:r>
      <w:r w:rsidR="00571290" w:rsidRPr="007A2115">
        <w:rPr>
          <w:rFonts w:ascii="Arial" w:hAnsi="Arial" w:cs="Arial"/>
          <w:bCs/>
          <w:sz w:val="20"/>
          <w:szCs w:val="20"/>
          <w:lang w:val="es-MX"/>
        </w:rPr>
        <w:t xml:space="preserve"> </w:t>
      </w:r>
      <w:r w:rsidR="0076646F">
        <w:rPr>
          <w:rFonts w:ascii="Arial" w:hAnsi="Arial" w:cs="Arial"/>
          <w:bCs/>
          <w:sz w:val="20"/>
          <w:szCs w:val="20"/>
          <w:lang w:val="es-MX"/>
        </w:rPr>
        <w:t>s</w:t>
      </w:r>
      <w:r w:rsidR="00571290" w:rsidRPr="007A2115">
        <w:rPr>
          <w:rFonts w:ascii="Arial" w:hAnsi="Arial" w:cs="Arial"/>
          <w:bCs/>
          <w:sz w:val="20"/>
          <w:szCs w:val="20"/>
          <w:lang w:val="es-MX"/>
        </w:rPr>
        <w:t xml:space="preserve">in la identificación de casos </w:t>
      </w:r>
      <w:r w:rsidR="00D56614">
        <w:rPr>
          <w:rFonts w:ascii="Arial" w:hAnsi="Arial" w:cs="Arial"/>
          <w:bCs/>
          <w:sz w:val="20"/>
          <w:szCs w:val="20"/>
          <w:lang w:val="es-MX"/>
        </w:rPr>
        <w:t>especificados</w:t>
      </w:r>
      <w:r w:rsidR="00571290" w:rsidRPr="007A2115">
        <w:rPr>
          <w:rFonts w:ascii="Arial" w:hAnsi="Arial" w:cs="Arial"/>
          <w:bCs/>
          <w:sz w:val="20"/>
          <w:szCs w:val="20"/>
          <w:lang w:val="es-MX"/>
        </w:rPr>
        <w:t xml:space="preserve"> como </w:t>
      </w:r>
      <w:r w:rsidR="00BE13FF">
        <w:rPr>
          <w:rFonts w:ascii="Arial" w:hAnsi="Arial" w:cs="Arial"/>
          <w:color w:val="000000"/>
          <w:sz w:val="20"/>
          <w:szCs w:val="20"/>
        </w:rPr>
        <w:t>lesión</w:t>
      </w:r>
      <w:r w:rsidR="00BE13FF" w:rsidRPr="007A2115">
        <w:rPr>
          <w:rFonts w:ascii="Arial" w:hAnsi="Arial" w:cs="Arial"/>
          <w:color w:val="000000"/>
          <w:sz w:val="20"/>
          <w:szCs w:val="20"/>
        </w:rPr>
        <w:t xml:space="preserve"> renal agud</w:t>
      </w:r>
      <w:r w:rsidR="00BE13FF">
        <w:rPr>
          <w:rFonts w:ascii="Arial" w:hAnsi="Arial" w:cs="Arial"/>
          <w:color w:val="000000"/>
          <w:sz w:val="20"/>
          <w:szCs w:val="20"/>
        </w:rPr>
        <w:t>a</w:t>
      </w:r>
      <w:r w:rsidR="00FC16C3">
        <w:rPr>
          <w:rFonts w:ascii="Arial" w:hAnsi="Arial" w:cs="Arial"/>
          <w:bCs/>
          <w:sz w:val="20"/>
          <w:szCs w:val="20"/>
          <w:lang w:val="es-MX"/>
        </w:rPr>
        <w:t>,</w:t>
      </w:r>
      <w:r w:rsidR="00D563CA">
        <w:rPr>
          <w:rFonts w:ascii="Arial" w:hAnsi="Arial" w:cs="Arial"/>
          <w:bCs/>
          <w:sz w:val="20"/>
          <w:szCs w:val="20"/>
          <w:lang w:val="es-MX"/>
        </w:rPr>
        <w:t xml:space="preserve"> para clindamicina.</w:t>
      </w:r>
    </w:p>
    <w:p w14:paraId="5C11234E" w14:textId="77777777" w:rsidR="003945B3" w:rsidRPr="007A2115" w:rsidRDefault="003945B3" w:rsidP="00901553">
      <w:pPr>
        <w:jc w:val="both"/>
        <w:rPr>
          <w:rFonts w:ascii="Arial" w:hAnsi="Arial" w:cs="Arial"/>
          <w:bCs/>
          <w:sz w:val="20"/>
          <w:szCs w:val="20"/>
          <w:lang w:val="es-MX"/>
        </w:rPr>
      </w:pPr>
    </w:p>
    <w:p w14:paraId="2978AB96" w14:textId="77777777" w:rsidR="000678D8" w:rsidRPr="007A2115" w:rsidRDefault="000678D8" w:rsidP="000678D8">
      <w:pPr>
        <w:rPr>
          <w:rFonts w:ascii="Arial" w:hAnsi="Arial" w:cs="Arial"/>
          <w:b/>
          <w:bCs/>
          <w:sz w:val="20"/>
          <w:szCs w:val="20"/>
        </w:rPr>
      </w:pPr>
      <w:r w:rsidRPr="007A2115">
        <w:rPr>
          <w:rFonts w:ascii="Arial" w:hAnsi="Arial" w:cs="Arial"/>
          <w:b/>
          <w:bCs/>
          <w:sz w:val="20"/>
          <w:szCs w:val="20"/>
        </w:rPr>
        <w:t>2. PRINCIPIOS ACTIVOS APROBADOS EN COLOMBIA:</w:t>
      </w:r>
    </w:p>
    <w:p w14:paraId="155B73B5" w14:textId="453CBA84" w:rsidR="000678D8" w:rsidRPr="007A2115" w:rsidRDefault="00936CBE" w:rsidP="000678D8">
      <w:pPr>
        <w:spacing w:after="0" w:line="240" w:lineRule="auto"/>
        <w:ind w:right="660"/>
        <w:jc w:val="both"/>
        <w:textAlignment w:val="baseline"/>
        <w:rPr>
          <w:rFonts w:ascii="Arial" w:eastAsia="Times New Roman" w:hAnsi="Arial" w:cs="Arial"/>
          <w:sz w:val="20"/>
          <w:szCs w:val="20"/>
          <w:lang w:val="es-ES" w:eastAsia="es-CO"/>
        </w:rPr>
      </w:pPr>
      <w:r w:rsidRPr="007A2115">
        <w:rPr>
          <w:rFonts w:ascii="Arial" w:eastAsia="Times New Roman" w:hAnsi="Arial" w:cs="Arial"/>
          <w:sz w:val="20"/>
          <w:szCs w:val="20"/>
          <w:lang w:val="es-ES" w:eastAsia="es-CO"/>
        </w:rPr>
        <w:t>Se encontraron los siguientes registros sanitarios</w:t>
      </w:r>
      <w:r w:rsidR="00B306D2" w:rsidRPr="007A2115">
        <w:rPr>
          <w:rFonts w:ascii="Arial" w:eastAsia="Times New Roman" w:hAnsi="Arial" w:cs="Arial"/>
          <w:sz w:val="20"/>
          <w:szCs w:val="20"/>
          <w:lang w:val="es-ES" w:eastAsia="es-CO"/>
        </w:rPr>
        <w:t xml:space="preserve"> vigentes</w:t>
      </w:r>
      <w:r w:rsidRPr="007A2115">
        <w:rPr>
          <w:rFonts w:ascii="Arial" w:eastAsia="Times New Roman" w:hAnsi="Arial" w:cs="Arial"/>
          <w:sz w:val="20"/>
          <w:szCs w:val="20"/>
          <w:lang w:val="es-ES" w:eastAsia="es-CO"/>
        </w:rPr>
        <w:t xml:space="preserve"> para el principio activo clindamicina</w:t>
      </w:r>
      <w:r w:rsidR="00C75AF7">
        <w:rPr>
          <w:rFonts w:ascii="Arial" w:eastAsia="Times New Roman" w:hAnsi="Arial" w:cs="Arial"/>
          <w:sz w:val="20"/>
          <w:szCs w:val="20"/>
          <w:lang w:val="es-ES" w:eastAsia="es-CO"/>
        </w:rPr>
        <w:t xml:space="preserve"> en la forma farmacéutica solución inyectable y cápsulas</w:t>
      </w:r>
      <w:r w:rsidR="00D85B28">
        <w:rPr>
          <w:rFonts w:ascii="Arial" w:eastAsia="Times New Roman" w:hAnsi="Arial" w:cs="Arial"/>
          <w:sz w:val="20"/>
          <w:szCs w:val="20"/>
          <w:lang w:val="es-ES" w:eastAsia="es-CO"/>
        </w:rPr>
        <w:t xml:space="preserve"> de administración oral</w:t>
      </w:r>
      <w:r w:rsidR="00FE0695">
        <w:rPr>
          <w:rFonts w:ascii="Arial" w:eastAsia="Times New Roman" w:hAnsi="Arial" w:cs="Arial"/>
          <w:sz w:val="20"/>
          <w:szCs w:val="20"/>
          <w:lang w:val="es-ES" w:eastAsia="es-CO"/>
        </w:rPr>
        <w:t>:</w:t>
      </w:r>
    </w:p>
    <w:p w14:paraId="7072B4E7" w14:textId="77777777" w:rsidR="000678D8" w:rsidRPr="007A2115" w:rsidRDefault="000678D8" w:rsidP="000678D8">
      <w:pPr>
        <w:rPr>
          <w:rFonts w:ascii="Arial" w:hAnsi="Arial" w:cs="Arial"/>
          <w:sz w:val="20"/>
          <w:szCs w:val="20"/>
        </w:rPr>
      </w:pPr>
    </w:p>
    <w:tbl>
      <w:tblPr>
        <w:tblW w:w="9067" w:type="dxa"/>
        <w:tblCellMar>
          <w:left w:w="70" w:type="dxa"/>
          <w:right w:w="70" w:type="dxa"/>
        </w:tblCellMar>
        <w:tblLook w:val="04A0" w:firstRow="1" w:lastRow="0" w:firstColumn="1" w:lastColumn="0" w:noHBand="0" w:noVBand="1"/>
      </w:tblPr>
      <w:tblGrid>
        <w:gridCol w:w="2689"/>
        <w:gridCol w:w="3260"/>
        <w:gridCol w:w="3118"/>
      </w:tblGrid>
      <w:tr w:rsidR="00F73EEE" w:rsidRPr="007A2115" w14:paraId="374EF7C6" w14:textId="77777777" w:rsidTr="00841334">
        <w:trPr>
          <w:trHeight w:val="290"/>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A40E543" w14:textId="77777777" w:rsidR="00F73EEE" w:rsidRPr="007A2115" w:rsidRDefault="00F73EEE" w:rsidP="00841334">
            <w:pPr>
              <w:jc w:val="center"/>
              <w:rPr>
                <w:rFonts w:ascii="Arial" w:eastAsia="Times New Roman" w:hAnsi="Arial" w:cs="Arial"/>
                <w:b/>
                <w:bCs/>
                <w:color w:val="000000"/>
                <w:sz w:val="20"/>
                <w:szCs w:val="20"/>
              </w:rPr>
            </w:pPr>
            <w:r w:rsidRPr="007A2115">
              <w:rPr>
                <w:rFonts w:ascii="Arial" w:eastAsia="Times New Roman" w:hAnsi="Arial" w:cs="Arial"/>
                <w:b/>
                <w:bCs/>
                <w:color w:val="000000"/>
                <w:sz w:val="20"/>
                <w:szCs w:val="20"/>
              </w:rPr>
              <w:t>Registro Sanitario</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6A81555" w14:textId="77777777" w:rsidR="00F73EEE" w:rsidRPr="007A2115" w:rsidRDefault="00F73EEE" w:rsidP="00841334">
            <w:pPr>
              <w:jc w:val="center"/>
              <w:rPr>
                <w:rFonts w:ascii="Arial" w:eastAsia="Times New Roman" w:hAnsi="Arial" w:cs="Arial"/>
                <w:b/>
                <w:bCs/>
                <w:color w:val="000000"/>
                <w:sz w:val="20"/>
                <w:szCs w:val="20"/>
              </w:rPr>
            </w:pPr>
            <w:r w:rsidRPr="007A2115">
              <w:rPr>
                <w:rFonts w:ascii="Arial" w:eastAsia="Times New Roman" w:hAnsi="Arial" w:cs="Arial"/>
                <w:b/>
                <w:bCs/>
                <w:color w:val="000000"/>
                <w:sz w:val="20"/>
                <w:szCs w:val="20"/>
              </w:rPr>
              <w:t>Producto</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947171F" w14:textId="77777777" w:rsidR="00F73EEE" w:rsidRPr="007A2115" w:rsidRDefault="00F73EEE" w:rsidP="00841334">
            <w:pPr>
              <w:jc w:val="center"/>
              <w:rPr>
                <w:rFonts w:ascii="Arial" w:eastAsia="Times New Roman" w:hAnsi="Arial" w:cs="Arial"/>
                <w:b/>
                <w:bCs/>
                <w:color w:val="000000"/>
                <w:sz w:val="20"/>
                <w:szCs w:val="20"/>
              </w:rPr>
            </w:pPr>
            <w:r w:rsidRPr="007A2115">
              <w:rPr>
                <w:rFonts w:ascii="Arial" w:eastAsia="Times New Roman" w:hAnsi="Arial" w:cs="Arial"/>
                <w:b/>
                <w:bCs/>
                <w:color w:val="000000"/>
                <w:sz w:val="20"/>
                <w:szCs w:val="20"/>
              </w:rPr>
              <w:t>Titular</w:t>
            </w:r>
          </w:p>
        </w:tc>
      </w:tr>
      <w:tr w:rsidR="00F73EEE" w:rsidRPr="007A2115" w14:paraId="05D409FF"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B8435FA" w14:textId="04F799CD" w:rsidR="00F73EEE" w:rsidRPr="007A2115" w:rsidRDefault="006A2E52"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INVIMA2023M -0018071-R1</w:t>
            </w:r>
          </w:p>
        </w:tc>
        <w:tc>
          <w:tcPr>
            <w:tcW w:w="3260" w:type="dxa"/>
            <w:tcBorders>
              <w:top w:val="nil"/>
              <w:left w:val="nil"/>
              <w:bottom w:val="single" w:sz="4" w:space="0" w:color="auto"/>
              <w:right w:val="single" w:sz="4" w:space="0" w:color="auto"/>
            </w:tcBorders>
            <w:shd w:val="clear" w:color="auto" w:fill="auto"/>
            <w:noWrap/>
            <w:vAlign w:val="center"/>
          </w:tcPr>
          <w:p w14:paraId="4A17A9DC" w14:textId="4682ACF3" w:rsidR="00F73EEE" w:rsidRPr="007A2115" w:rsidRDefault="006A2E52"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600 MG / 4 ML SOLUCIÓN INYECTABLE</w:t>
            </w:r>
          </w:p>
        </w:tc>
        <w:tc>
          <w:tcPr>
            <w:tcW w:w="3118" w:type="dxa"/>
            <w:tcBorders>
              <w:top w:val="nil"/>
              <w:left w:val="nil"/>
              <w:bottom w:val="single" w:sz="4" w:space="0" w:color="auto"/>
              <w:right w:val="single" w:sz="4" w:space="0" w:color="auto"/>
            </w:tcBorders>
            <w:shd w:val="clear" w:color="auto" w:fill="auto"/>
            <w:noWrap/>
            <w:vAlign w:val="center"/>
          </w:tcPr>
          <w:p w14:paraId="08DC4873" w14:textId="3DE98623" w:rsidR="00F73EEE" w:rsidRPr="007A2115" w:rsidRDefault="006A2E52"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BIO ESTERIL S.A.S con domicilio en Funza - Cundinamarca</w:t>
            </w:r>
          </w:p>
        </w:tc>
      </w:tr>
      <w:tr w:rsidR="00F73EEE" w:rsidRPr="007A2115" w14:paraId="43418974"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290212D" w14:textId="44CBDECB" w:rsidR="00F73EEE" w:rsidRPr="007A2115" w:rsidRDefault="006A2E52" w:rsidP="00841334">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INVIMA2022M-0016591-R1</w:t>
            </w:r>
          </w:p>
        </w:tc>
        <w:tc>
          <w:tcPr>
            <w:tcW w:w="3260" w:type="dxa"/>
            <w:tcBorders>
              <w:top w:val="nil"/>
              <w:left w:val="nil"/>
              <w:bottom w:val="single" w:sz="4" w:space="0" w:color="auto"/>
              <w:right w:val="single" w:sz="4" w:space="0" w:color="auto"/>
            </w:tcBorders>
            <w:shd w:val="clear" w:color="auto" w:fill="auto"/>
            <w:noWrap/>
            <w:vAlign w:val="center"/>
          </w:tcPr>
          <w:p w14:paraId="5E559543" w14:textId="1D17BB7B" w:rsidR="00F73EEE" w:rsidRPr="007A2115" w:rsidRDefault="006A2E52"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600 MG/4ML SOLUCION INYECTABLE</w:t>
            </w:r>
          </w:p>
        </w:tc>
        <w:tc>
          <w:tcPr>
            <w:tcW w:w="3118" w:type="dxa"/>
            <w:tcBorders>
              <w:top w:val="nil"/>
              <w:left w:val="nil"/>
              <w:bottom w:val="single" w:sz="4" w:space="0" w:color="auto"/>
              <w:right w:val="single" w:sz="4" w:space="0" w:color="auto"/>
            </w:tcBorders>
            <w:shd w:val="clear" w:color="auto" w:fill="auto"/>
            <w:noWrap/>
            <w:vAlign w:val="center"/>
          </w:tcPr>
          <w:p w14:paraId="144C03FC" w14:textId="4D1C4B97" w:rsidR="00F73EEE" w:rsidRPr="007A2115" w:rsidRDefault="006A2E52"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LABORATORIOS MK S.A.S. con domicilio en Cali- Valle.</w:t>
            </w:r>
          </w:p>
        </w:tc>
      </w:tr>
      <w:tr w:rsidR="00F73EEE" w:rsidRPr="007A2115" w14:paraId="286A5A17"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4442F5BE" w14:textId="01D3F8C6" w:rsidR="00F73EEE" w:rsidRPr="007A2115" w:rsidRDefault="001F0E1C" w:rsidP="00841334">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INVIMA2016M-0011112-R1</w:t>
            </w:r>
          </w:p>
        </w:tc>
        <w:tc>
          <w:tcPr>
            <w:tcW w:w="3260" w:type="dxa"/>
            <w:tcBorders>
              <w:top w:val="nil"/>
              <w:left w:val="nil"/>
              <w:bottom w:val="single" w:sz="4" w:space="0" w:color="auto"/>
              <w:right w:val="single" w:sz="4" w:space="0" w:color="auto"/>
            </w:tcBorders>
            <w:shd w:val="clear" w:color="auto" w:fill="auto"/>
            <w:noWrap/>
            <w:vAlign w:val="center"/>
          </w:tcPr>
          <w:p w14:paraId="57DA4241" w14:textId="046659C4" w:rsidR="00F73EEE" w:rsidRPr="007A2115" w:rsidRDefault="001F0E1C"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600 MG / 4 ML</w:t>
            </w:r>
          </w:p>
        </w:tc>
        <w:tc>
          <w:tcPr>
            <w:tcW w:w="3118" w:type="dxa"/>
            <w:tcBorders>
              <w:top w:val="nil"/>
              <w:left w:val="nil"/>
              <w:bottom w:val="single" w:sz="4" w:space="0" w:color="auto"/>
              <w:right w:val="single" w:sz="4" w:space="0" w:color="auto"/>
            </w:tcBorders>
            <w:shd w:val="clear" w:color="auto" w:fill="auto"/>
            <w:noWrap/>
            <w:vAlign w:val="center"/>
          </w:tcPr>
          <w:p w14:paraId="6B2C9559" w14:textId="7DC759B7" w:rsidR="00F73EEE" w:rsidRPr="007A2115" w:rsidRDefault="001F0E1C"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CORPORACIÓN DE FOMENTO ASISTENCIAL DEL HOSPITAL UNIVERSITARIO SAN VICENTE DE PAUL – CORPAUL con domicilio en Medellín - Antioquia</w:t>
            </w:r>
          </w:p>
        </w:tc>
      </w:tr>
      <w:tr w:rsidR="00F73EEE" w:rsidRPr="007A2115" w14:paraId="5CA604EF"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30EE76B" w14:textId="6BF07DBB" w:rsidR="00F73EEE" w:rsidRPr="007A2115" w:rsidRDefault="001F0E1C" w:rsidP="00841334">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INVIMA2019M – 0009248-R1</w:t>
            </w:r>
          </w:p>
        </w:tc>
        <w:tc>
          <w:tcPr>
            <w:tcW w:w="3260" w:type="dxa"/>
            <w:tcBorders>
              <w:top w:val="nil"/>
              <w:left w:val="nil"/>
              <w:bottom w:val="single" w:sz="4" w:space="0" w:color="auto"/>
              <w:right w:val="single" w:sz="4" w:space="0" w:color="auto"/>
            </w:tcBorders>
            <w:shd w:val="clear" w:color="auto" w:fill="auto"/>
            <w:noWrap/>
            <w:vAlign w:val="center"/>
          </w:tcPr>
          <w:p w14:paraId="3DD0BD27" w14:textId="7D251688" w:rsidR="00F73EEE" w:rsidRPr="007A2115" w:rsidRDefault="001F0E1C"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CLINBAC INYECTABLE 600 MG</w:t>
            </w:r>
          </w:p>
        </w:tc>
        <w:tc>
          <w:tcPr>
            <w:tcW w:w="3118" w:type="dxa"/>
            <w:tcBorders>
              <w:top w:val="nil"/>
              <w:left w:val="nil"/>
              <w:bottom w:val="single" w:sz="4" w:space="0" w:color="auto"/>
              <w:right w:val="single" w:sz="4" w:space="0" w:color="auto"/>
            </w:tcBorders>
            <w:shd w:val="clear" w:color="auto" w:fill="auto"/>
            <w:noWrap/>
            <w:vAlign w:val="center"/>
          </w:tcPr>
          <w:p w14:paraId="0BF54D60" w14:textId="3385A601" w:rsidR="00F73EEE" w:rsidRPr="007A2115" w:rsidRDefault="001F0E1C" w:rsidP="00841334">
            <w:pPr>
              <w:rPr>
                <w:rFonts w:ascii="Arial" w:eastAsia="Times New Roman" w:hAnsi="Arial" w:cs="Arial"/>
                <w:color w:val="000000"/>
                <w:sz w:val="20"/>
                <w:szCs w:val="20"/>
              </w:rPr>
            </w:pPr>
            <w:r w:rsidRPr="007A2115">
              <w:rPr>
                <w:rFonts w:ascii="Arial" w:eastAsia="Times New Roman" w:hAnsi="Arial" w:cs="Arial"/>
                <w:color w:val="000000"/>
                <w:sz w:val="20"/>
                <w:szCs w:val="20"/>
              </w:rPr>
              <w:t>LABQUIFAR LTDA. Con domicilio en Bogotá D.C</w:t>
            </w:r>
          </w:p>
        </w:tc>
      </w:tr>
      <w:tr w:rsidR="008F6CCB" w:rsidRPr="007A2115" w14:paraId="02FF1CE3"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8183357" w14:textId="166BD407" w:rsidR="008F6CCB" w:rsidRPr="007A2115" w:rsidRDefault="008F6CCB" w:rsidP="008F6CCB">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INVIMA2022M-0008524-R1</w:t>
            </w:r>
          </w:p>
        </w:tc>
        <w:tc>
          <w:tcPr>
            <w:tcW w:w="3260" w:type="dxa"/>
            <w:tcBorders>
              <w:top w:val="nil"/>
              <w:left w:val="nil"/>
              <w:bottom w:val="single" w:sz="4" w:space="0" w:color="auto"/>
              <w:right w:val="single" w:sz="4" w:space="0" w:color="auto"/>
            </w:tcBorders>
            <w:shd w:val="clear" w:color="auto" w:fill="auto"/>
            <w:noWrap/>
            <w:vAlign w:val="center"/>
          </w:tcPr>
          <w:p w14:paraId="03768DBD" w14:textId="5BB125E0" w:rsidR="008F6CCB" w:rsidRPr="007A2115" w:rsidRDefault="008F6CC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600 MG/4ML SOLUCIÓN INYECTABLE</w:t>
            </w:r>
          </w:p>
        </w:tc>
        <w:tc>
          <w:tcPr>
            <w:tcW w:w="3118" w:type="dxa"/>
            <w:tcBorders>
              <w:top w:val="nil"/>
              <w:left w:val="nil"/>
              <w:bottom w:val="single" w:sz="4" w:space="0" w:color="auto"/>
              <w:right w:val="single" w:sz="4" w:space="0" w:color="auto"/>
            </w:tcBorders>
            <w:shd w:val="clear" w:color="auto" w:fill="auto"/>
            <w:noWrap/>
            <w:vAlign w:val="center"/>
          </w:tcPr>
          <w:p w14:paraId="76284C2C" w14:textId="66144D7C" w:rsidR="008F6CCB" w:rsidRPr="007A2115" w:rsidRDefault="008F6CC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PROCAPS S.A. con domicilio en Barranquilla.</w:t>
            </w:r>
          </w:p>
        </w:tc>
      </w:tr>
      <w:tr w:rsidR="008F6CCB" w:rsidRPr="007A2115" w14:paraId="54BA0E6D"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1003EF55" w14:textId="587F4766" w:rsidR="008F6CCB" w:rsidRPr="007A2115" w:rsidRDefault="008F6CCB" w:rsidP="008F6CCB">
            <w:pPr>
              <w:rPr>
                <w:rFonts w:ascii="Arial" w:eastAsia="Times New Roman" w:hAnsi="Arial" w:cs="Arial"/>
                <w:b/>
                <w:bCs/>
                <w:color w:val="000000"/>
                <w:sz w:val="20"/>
                <w:szCs w:val="20"/>
              </w:rPr>
            </w:pPr>
            <w:r w:rsidRPr="007A2115">
              <w:rPr>
                <w:rFonts w:ascii="Arial" w:eastAsia="Times New Roman" w:hAnsi="Arial" w:cs="Arial"/>
                <w:color w:val="000000"/>
                <w:sz w:val="20"/>
                <w:szCs w:val="20"/>
              </w:rPr>
              <w:lastRenderedPageBreak/>
              <w:t>INVIMA2020M-0008213-R1</w:t>
            </w:r>
          </w:p>
        </w:tc>
        <w:tc>
          <w:tcPr>
            <w:tcW w:w="3260" w:type="dxa"/>
            <w:tcBorders>
              <w:top w:val="nil"/>
              <w:left w:val="nil"/>
              <w:bottom w:val="single" w:sz="4" w:space="0" w:color="auto"/>
              <w:right w:val="single" w:sz="4" w:space="0" w:color="auto"/>
            </w:tcBorders>
            <w:shd w:val="clear" w:color="auto" w:fill="auto"/>
            <w:noWrap/>
            <w:vAlign w:val="center"/>
          </w:tcPr>
          <w:p w14:paraId="02015292" w14:textId="1A811F03" w:rsidR="008F6CCB" w:rsidRPr="007A2115" w:rsidRDefault="008F6CC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600 MG/ 4 ML SOLUCION INYECTABLE</w:t>
            </w:r>
          </w:p>
        </w:tc>
        <w:tc>
          <w:tcPr>
            <w:tcW w:w="3118" w:type="dxa"/>
            <w:tcBorders>
              <w:top w:val="nil"/>
              <w:left w:val="nil"/>
              <w:bottom w:val="single" w:sz="4" w:space="0" w:color="auto"/>
              <w:right w:val="single" w:sz="4" w:space="0" w:color="auto"/>
            </w:tcBorders>
            <w:shd w:val="clear" w:color="auto" w:fill="auto"/>
            <w:noWrap/>
            <w:vAlign w:val="center"/>
          </w:tcPr>
          <w:p w14:paraId="07C9687C" w14:textId="2FC499BE" w:rsidR="008F6CCB" w:rsidRPr="007A2115" w:rsidRDefault="008F6CC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LABORATORIO SANDERSON S.A. con domicilio en Chile.</w:t>
            </w:r>
          </w:p>
        </w:tc>
      </w:tr>
      <w:tr w:rsidR="008F6CCB" w:rsidRPr="007A2115" w14:paraId="4DCA6FC8"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00C850F8" w14:textId="6A7FB153" w:rsidR="008F6CCB" w:rsidRPr="007A2115" w:rsidRDefault="008F6CCB" w:rsidP="008F6CCB">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INVIMA2017M-0006016-R1</w:t>
            </w:r>
          </w:p>
        </w:tc>
        <w:tc>
          <w:tcPr>
            <w:tcW w:w="3260" w:type="dxa"/>
            <w:tcBorders>
              <w:top w:val="nil"/>
              <w:left w:val="nil"/>
              <w:bottom w:val="single" w:sz="4" w:space="0" w:color="auto"/>
              <w:right w:val="single" w:sz="4" w:space="0" w:color="auto"/>
            </w:tcBorders>
            <w:shd w:val="clear" w:color="auto" w:fill="auto"/>
            <w:noWrap/>
            <w:vAlign w:val="center"/>
          </w:tcPr>
          <w:p w14:paraId="1FD6FB6F" w14:textId="049CFD52" w:rsidR="008F6CCB" w:rsidRPr="007A2115" w:rsidRDefault="008F6CC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600 MG /4ML</w:t>
            </w:r>
          </w:p>
        </w:tc>
        <w:tc>
          <w:tcPr>
            <w:tcW w:w="3118" w:type="dxa"/>
            <w:tcBorders>
              <w:top w:val="nil"/>
              <w:left w:val="nil"/>
              <w:bottom w:val="single" w:sz="4" w:space="0" w:color="auto"/>
              <w:right w:val="single" w:sz="4" w:space="0" w:color="auto"/>
            </w:tcBorders>
            <w:shd w:val="clear" w:color="auto" w:fill="auto"/>
            <w:noWrap/>
            <w:vAlign w:val="center"/>
          </w:tcPr>
          <w:p w14:paraId="157893CA" w14:textId="03769326" w:rsidR="008F6CCB" w:rsidRPr="007A2115" w:rsidRDefault="008F6CC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LABORATORIOS BLASKOV LTDA. Con domicilio en Bogotá D.C</w:t>
            </w:r>
          </w:p>
        </w:tc>
      </w:tr>
      <w:tr w:rsidR="008F6CCB" w:rsidRPr="007A2115" w14:paraId="5044102A"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6A2F211C" w14:textId="7BD64EA4" w:rsidR="008F6CCB" w:rsidRPr="007A2115" w:rsidRDefault="008F6CCB" w:rsidP="008F6CCB">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INVIMA2018M-0005807-R1</w:t>
            </w:r>
          </w:p>
        </w:tc>
        <w:tc>
          <w:tcPr>
            <w:tcW w:w="3260" w:type="dxa"/>
            <w:tcBorders>
              <w:top w:val="nil"/>
              <w:left w:val="nil"/>
              <w:bottom w:val="single" w:sz="4" w:space="0" w:color="auto"/>
              <w:right w:val="single" w:sz="4" w:space="0" w:color="auto"/>
            </w:tcBorders>
            <w:shd w:val="clear" w:color="auto" w:fill="auto"/>
            <w:noWrap/>
            <w:vAlign w:val="center"/>
          </w:tcPr>
          <w:p w14:paraId="2D16226A" w14:textId="07A2CA5F" w:rsidR="008F6CCB" w:rsidRPr="007A2115" w:rsidRDefault="008F6CC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600 MG /4 ML SOLUCION INYECTABLE</w:t>
            </w:r>
          </w:p>
        </w:tc>
        <w:tc>
          <w:tcPr>
            <w:tcW w:w="3118" w:type="dxa"/>
            <w:tcBorders>
              <w:top w:val="nil"/>
              <w:left w:val="nil"/>
              <w:bottom w:val="single" w:sz="4" w:space="0" w:color="auto"/>
              <w:right w:val="single" w:sz="4" w:space="0" w:color="auto"/>
            </w:tcBorders>
            <w:shd w:val="clear" w:color="auto" w:fill="auto"/>
            <w:noWrap/>
            <w:vAlign w:val="center"/>
          </w:tcPr>
          <w:p w14:paraId="4532FDEC" w14:textId="05D844EA" w:rsidR="008F6CCB" w:rsidRPr="007A2115" w:rsidRDefault="008F6CC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LABORATORIOS BUSSIÉ S.A. con domicilio en Bogotá D.C</w:t>
            </w:r>
          </w:p>
        </w:tc>
      </w:tr>
      <w:tr w:rsidR="008F6CCB" w:rsidRPr="007A2115" w14:paraId="0955CDFA"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5E2CF565" w14:textId="12416EDD" w:rsidR="008F6CCB" w:rsidRPr="007A2115" w:rsidRDefault="00293DB9" w:rsidP="008F6CCB">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INVIMA2022M-0003196-R2</w:t>
            </w:r>
          </w:p>
        </w:tc>
        <w:tc>
          <w:tcPr>
            <w:tcW w:w="3260" w:type="dxa"/>
            <w:tcBorders>
              <w:top w:val="nil"/>
              <w:left w:val="nil"/>
              <w:bottom w:val="single" w:sz="4" w:space="0" w:color="auto"/>
              <w:right w:val="single" w:sz="4" w:space="0" w:color="auto"/>
            </w:tcBorders>
            <w:shd w:val="clear" w:color="auto" w:fill="auto"/>
            <w:noWrap/>
            <w:vAlign w:val="center"/>
          </w:tcPr>
          <w:p w14:paraId="7DCF113C" w14:textId="7AFAEC62" w:rsidR="008F6CCB" w:rsidRPr="007A2115" w:rsidRDefault="00293DB9"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600 MG / 4 ML SOLUCIÓN INYECTABLE</w:t>
            </w:r>
          </w:p>
        </w:tc>
        <w:tc>
          <w:tcPr>
            <w:tcW w:w="3118" w:type="dxa"/>
            <w:tcBorders>
              <w:top w:val="nil"/>
              <w:left w:val="nil"/>
              <w:bottom w:val="single" w:sz="4" w:space="0" w:color="auto"/>
              <w:right w:val="single" w:sz="4" w:space="0" w:color="auto"/>
            </w:tcBorders>
            <w:shd w:val="clear" w:color="auto" w:fill="auto"/>
            <w:noWrap/>
            <w:vAlign w:val="center"/>
          </w:tcPr>
          <w:p w14:paraId="0BD51A12" w14:textId="589D6947" w:rsidR="008F6CCB" w:rsidRPr="007A2115" w:rsidRDefault="00293DB9"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VITALIS S.A.C.I PLANTA 8 con domicilio en Sopó - Cundinamarca</w:t>
            </w:r>
          </w:p>
        </w:tc>
      </w:tr>
      <w:tr w:rsidR="008F6CCB" w:rsidRPr="007A2115" w14:paraId="33A28A85" w14:textId="77777777" w:rsidTr="00F73EEE">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3BCBB475" w14:textId="24337AB3" w:rsidR="008F6CCB" w:rsidRPr="007A2115" w:rsidRDefault="00D056AE" w:rsidP="008F6CCB">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INVIMA2019M-011973 – R2</w:t>
            </w:r>
          </w:p>
        </w:tc>
        <w:tc>
          <w:tcPr>
            <w:tcW w:w="3260" w:type="dxa"/>
            <w:tcBorders>
              <w:top w:val="nil"/>
              <w:left w:val="nil"/>
              <w:bottom w:val="single" w:sz="4" w:space="0" w:color="auto"/>
              <w:right w:val="single" w:sz="4" w:space="0" w:color="auto"/>
            </w:tcBorders>
            <w:shd w:val="clear" w:color="auto" w:fill="auto"/>
            <w:noWrap/>
            <w:vAlign w:val="center"/>
          </w:tcPr>
          <w:p w14:paraId="10D6AEAB" w14:textId="492F0AA1" w:rsidR="008F6CCB" w:rsidRPr="007A2115" w:rsidRDefault="00D056AE"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CLINDAMICINA INYECTABLE 600 MG/ 4 ML</w:t>
            </w:r>
          </w:p>
        </w:tc>
        <w:tc>
          <w:tcPr>
            <w:tcW w:w="3118" w:type="dxa"/>
            <w:tcBorders>
              <w:top w:val="nil"/>
              <w:left w:val="nil"/>
              <w:bottom w:val="single" w:sz="4" w:space="0" w:color="auto"/>
              <w:right w:val="single" w:sz="4" w:space="0" w:color="auto"/>
            </w:tcBorders>
            <w:shd w:val="clear" w:color="auto" w:fill="auto"/>
            <w:noWrap/>
            <w:vAlign w:val="center"/>
          </w:tcPr>
          <w:p w14:paraId="16F79883" w14:textId="11C4C455" w:rsidR="008F6CCB" w:rsidRPr="007A2115" w:rsidRDefault="00D056AE"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LABORATORIOS RYAN DE COLOMBIA S.A.S. con domicilio en Funza - Cundinamarca</w:t>
            </w:r>
          </w:p>
        </w:tc>
      </w:tr>
      <w:tr w:rsidR="008F6CCB" w:rsidRPr="007A2115" w14:paraId="101195E8" w14:textId="77777777" w:rsidTr="00F80A08">
        <w:trPr>
          <w:trHeight w:val="290"/>
        </w:trPr>
        <w:tc>
          <w:tcPr>
            <w:tcW w:w="2689" w:type="dxa"/>
            <w:tcBorders>
              <w:top w:val="nil"/>
              <w:left w:val="single" w:sz="4" w:space="0" w:color="auto"/>
              <w:bottom w:val="single" w:sz="4" w:space="0" w:color="auto"/>
              <w:right w:val="single" w:sz="4" w:space="0" w:color="auto"/>
            </w:tcBorders>
            <w:shd w:val="clear" w:color="auto" w:fill="auto"/>
            <w:noWrap/>
            <w:vAlign w:val="center"/>
          </w:tcPr>
          <w:p w14:paraId="7DA8DB3E" w14:textId="2C56DE5D" w:rsidR="008F6CCB" w:rsidRPr="007A2115" w:rsidRDefault="004C6C6D" w:rsidP="008F6CCB">
            <w:pPr>
              <w:rPr>
                <w:rFonts w:ascii="Arial" w:eastAsia="Times New Roman" w:hAnsi="Arial" w:cs="Arial"/>
                <w:b/>
                <w:bCs/>
                <w:color w:val="000000"/>
                <w:sz w:val="20"/>
                <w:szCs w:val="20"/>
              </w:rPr>
            </w:pPr>
            <w:r w:rsidRPr="007A2115">
              <w:rPr>
                <w:rFonts w:ascii="Arial" w:eastAsia="Times New Roman" w:hAnsi="Arial" w:cs="Arial"/>
                <w:color w:val="000000"/>
                <w:sz w:val="20"/>
                <w:szCs w:val="20"/>
              </w:rPr>
              <w:t>INVIMA2021M -000462-R3</w:t>
            </w:r>
          </w:p>
        </w:tc>
        <w:tc>
          <w:tcPr>
            <w:tcW w:w="3260" w:type="dxa"/>
            <w:tcBorders>
              <w:top w:val="nil"/>
              <w:left w:val="nil"/>
              <w:bottom w:val="single" w:sz="4" w:space="0" w:color="auto"/>
              <w:right w:val="single" w:sz="4" w:space="0" w:color="auto"/>
            </w:tcBorders>
            <w:shd w:val="clear" w:color="auto" w:fill="auto"/>
            <w:noWrap/>
            <w:vAlign w:val="center"/>
          </w:tcPr>
          <w:p w14:paraId="51EFCBF0" w14:textId="45BA9750" w:rsidR="008F6CCB" w:rsidRPr="007A2115" w:rsidRDefault="004C6C6D"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EUROCLIN® INYECTABLE 600 MG</w:t>
            </w:r>
          </w:p>
        </w:tc>
        <w:tc>
          <w:tcPr>
            <w:tcW w:w="3118" w:type="dxa"/>
            <w:tcBorders>
              <w:top w:val="nil"/>
              <w:left w:val="nil"/>
              <w:bottom w:val="single" w:sz="4" w:space="0" w:color="auto"/>
              <w:right w:val="single" w:sz="4" w:space="0" w:color="auto"/>
            </w:tcBorders>
            <w:shd w:val="clear" w:color="auto" w:fill="auto"/>
            <w:noWrap/>
            <w:vAlign w:val="center"/>
          </w:tcPr>
          <w:p w14:paraId="776F9E1C" w14:textId="14A994D1" w:rsidR="008F6CCB" w:rsidRPr="007A2115" w:rsidRDefault="004C6C6D"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LABORATORIOS CHALVER DE COLOMBIA S.A.S. con domicilio en Bogotá.</w:t>
            </w:r>
          </w:p>
        </w:tc>
      </w:tr>
      <w:tr w:rsidR="00F80A08" w:rsidRPr="007A2115" w14:paraId="25D1C7A5"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DEA4B" w14:textId="4AEFFD00" w:rsidR="00F80A08" w:rsidRPr="007A2115" w:rsidRDefault="00D07C59"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w:t>
            </w:r>
            <w:r>
              <w:rPr>
                <w:rFonts w:ascii="Arial" w:eastAsia="Times New Roman" w:hAnsi="Arial" w:cs="Arial"/>
                <w:color w:val="000000"/>
                <w:sz w:val="20"/>
                <w:szCs w:val="20"/>
              </w:rPr>
              <w:t>2019M-0019378</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85211E4" w14:textId="3E03CF9C" w:rsidR="00F80A08" w:rsidRPr="007A2115" w:rsidRDefault="00D07C59" w:rsidP="008F6CCB">
            <w:pPr>
              <w:rPr>
                <w:rFonts w:ascii="Arial" w:eastAsia="Times New Roman" w:hAnsi="Arial" w:cs="Arial"/>
                <w:color w:val="000000"/>
                <w:sz w:val="20"/>
                <w:szCs w:val="20"/>
              </w:rPr>
            </w:pPr>
            <w:r w:rsidRPr="00D07C59">
              <w:rPr>
                <w:rFonts w:ascii="Arial" w:eastAsia="Times New Roman" w:hAnsi="Arial" w:cs="Arial"/>
                <w:color w:val="000000"/>
                <w:sz w:val="20"/>
                <w:szCs w:val="20"/>
              </w:rPr>
              <w:t>CLINDACIL® 300 MG CAPSULAS</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2F853F15" w14:textId="676CE8D5" w:rsidR="00F80A08" w:rsidRPr="007A2115" w:rsidRDefault="00D07C59" w:rsidP="008F6CCB">
            <w:pPr>
              <w:rPr>
                <w:rFonts w:ascii="Arial" w:eastAsia="Times New Roman" w:hAnsi="Arial" w:cs="Arial"/>
                <w:color w:val="000000"/>
                <w:sz w:val="20"/>
                <w:szCs w:val="20"/>
              </w:rPr>
            </w:pPr>
            <w:r w:rsidRPr="00D07C59">
              <w:rPr>
                <w:rFonts w:ascii="Arial" w:eastAsia="Times New Roman" w:hAnsi="Arial" w:cs="Arial"/>
                <w:color w:val="000000"/>
                <w:sz w:val="20"/>
                <w:szCs w:val="20"/>
              </w:rPr>
              <w:t>ANGLOPHARMA S.A.</w:t>
            </w:r>
            <w:r w:rsidRPr="007A2115">
              <w:rPr>
                <w:rFonts w:ascii="Arial" w:eastAsia="Times New Roman" w:hAnsi="Arial" w:cs="Arial"/>
                <w:color w:val="000000"/>
                <w:sz w:val="20"/>
                <w:szCs w:val="20"/>
              </w:rPr>
              <w:t xml:space="preserve"> con domicilio en Bogotá.</w:t>
            </w:r>
          </w:p>
        </w:tc>
      </w:tr>
      <w:tr w:rsidR="00F80A08" w:rsidRPr="007A2115" w14:paraId="26E196A7"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858B1" w14:textId="5A6B332A" w:rsidR="00F80A08" w:rsidRPr="007A2115" w:rsidRDefault="00D07C59"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INVIMA2022M</w:t>
            </w:r>
            <w:r>
              <w:rPr>
                <w:rFonts w:ascii="Arial" w:eastAsia="Times New Roman" w:hAnsi="Arial" w:cs="Arial"/>
                <w:color w:val="000000"/>
                <w:sz w:val="20"/>
                <w:szCs w:val="20"/>
              </w:rPr>
              <w:t>-0017020-R1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1FF77E9" w14:textId="0B899F31" w:rsidR="00F80A08" w:rsidRPr="007A2115" w:rsidRDefault="00D07C59" w:rsidP="008F6CCB">
            <w:pPr>
              <w:rPr>
                <w:rFonts w:ascii="Arial" w:eastAsia="Times New Roman" w:hAnsi="Arial" w:cs="Arial"/>
                <w:color w:val="000000"/>
                <w:sz w:val="20"/>
                <w:szCs w:val="20"/>
              </w:rPr>
            </w:pPr>
            <w:r w:rsidRPr="00D07C59">
              <w:rPr>
                <w:rFonts w:ascii="Arial" w:eastAsia="Times New Roman" w:hAnsi="Arial" w:cs="Arial"/>
                <w:color w:val="000000"/>
                <w:sz w:val="20"/>
                <w:szCs w:val="20"/>
              </w:rPr>
              <w:t>BACLIN® 300MG CAPSULAS.</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0A7F7FD" w14:textId="12216C52" w:rsidR="00F80A08" w:rsidRPr="007A2115" w:rsidRDefault="00D07C59" w:rsidP="008F6CCB">
            <w:pPr>
              <w:rPr>
                <w:rFonts w:ascii="Arial" w:eastAsia="Times New Roman" w:hAnsi="Arial" w:cs="Arial"/>
                <w:color w:val="000000"/>
                <w:sz w:val="20"/>
                <w:szCs w:val="20"/>
              </w:rPr>
            </w:pPr>
            <w:r w:rsidRPr="00D07C59">
              <w:rPr>
                <w:rFonts w:ascii="Arial" w:eastAsia="Times New Roman" w:hAnsi="Arial" w:cs="Arial"/>
                <w:color w:val="000000"/>
                <w:sz w:val="20"/>
                <w:szCs w:val="20"/>
              </w:rPr>
              <w:t>COASPHARMA S.A.S.</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 Bogotá.</w:t>
            </w:r>
          </w:p>
        </w:tc>
      </w:tr>
      <w:tr w:rsidR="00F80A08" w:rsidRPr="007A2115" w14:paraId="49154DA0"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86829" w14:textId="3CCE63C1" w:rsidR="00F80A08" w:rsidRPr="007A2115" w:rsidRDefault="00D07C59"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INVIMA2020M</w:t>
            </w:r>
            <w:r>
              <w:rPr>
                <w:rFonts w:ascii="Arial" w:eastAsia="Times New Roman" w:hAnsi="Arial" w:cs="Arial"/>
                <w:color w:val="000000"/>
                <w:sz w:val="20"/>
                <w:szCs w:val="20"/>
              </w:rPr>
              <w:t>-0015259-R1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320ABEA" w14:textId="68B0AF62" w:rsidR="00F80A08" w:rsidRPr="007A2115" w:rsidRDefault="00D07C59" w:rsidP="008F6CCB">
            <w:pPr>
              <w:rPr>
                <w:rFonts w:ascii="Arial" w:eastAsia="Times New Roman" w:hAnsi="Arial" w:cs="Arial"/>
                <w:color w:val="000000"/>
                <w:sz w:val="20"/>
                <w:szCs w:val="20"/>
              </w:rPr>
            </w:pPr>
            <w:r w:rsidRPr="00D07C59">
              <w:rPr>
                <w:rFonts w:ascii="Arial" w:eastAsia="Times New Roman" w:hAnsi="Arial" w:cs="Arial"/>
                <w:color w:val="000000"/>
                <w:sz w:val="20"/>
                <w:szCs w:val="20"/>
              </w:rPr>
              <w:t>EUROCLIN CAPSULAS</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76FDA44" w14:textId="1893022C" w:rsidR="00F80A08" w:rsidRPr="007A2115" w:rsidRDefault="00D07C59" w:rsidP="008F6CCB">
            <w:pPr>
              <w:rPr>
                <w:rFonts w:ascii="Arial" w:eastAsia="Times New Roman" w:hAnsi="Arial" w:cs="Arial"/>
                <w:color w:val="000000"/>
                <w:sz w:val="20"/>
                <w:szCs w:val="20"/>
              </w:rPr>
            </w:pPr>
            <w:r w:rsidRPr="00D07C59">
              <w:rPr>
                <w:rFonts w:ascii="Arial" w:eastAsia="Times New Roman" w:hAnsi="Arial" w:cs="Arial"/>
                <w:color w:val="000000"/>
                <w:sz w:val="20"/>
                <w:szCs w:val="20"/>
              </w:rPr>
              <w:t>LABORATORIOS CHALVER DE COLOMBIA S.A.S.</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 Bogotá.</w:t>
            </w:r>
          </w:p>
        </w:tc>
      </w:tr>
      <w:tr w:rsidR="00F80A08" w:rsidRPr="007A2115" w14:paraId="48D30C47"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67950" w14:textId="52D36BFF" w:rsidR="00F80A08" w:rsidRPr="007A2115" w:rsidRDefault="0000624D"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INVIMA2021M</w:t>
            </w:r>
            <w:r>
              <w:rPr>
                <w:rFonts w:ascii="Arial" w:eastAsia="Times New Roman" w:hAnsi="Arial" w:cs="Arial"/>
                <w:color w:val="000000"/>
                <w:sz w:val="20"/>
                <w:szCs w:val="20"/>
              </w:rPr>
              <w:t xml:space="preserve"> – 0010204-R1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B08AC5C" w14:textId="4EEE35F9" w:rsidR="00F80A08" w:rsidRPr="007A2115" w:rsidRDefault="0000624D" w:rsidP="008F6CCB">
            <w:pPr>
              <w:rPr>
                <w:rFonts w:ascii="Arial" w:eastAsia="Times New Roman" w:hAnsi="Arial" w:cs="Arial"/>
                <w:color w:val="000000"/>
                <w:sz w:val="20"/>
                <w:szCs w:val="20"/>
              </w:rPr>
            </w:pPr>
            <w:r w:rsidRPr="0000624D">
              <w:rPr>
                <w:rFonts w:ascii="Arial" w:eastAsia="Times New Roman" w:hAnsi="Arial" w:cs="Arial"/>
                <w:color w:val="000000"/>
                <w:sz w:val="20"/>
                <w:szCs w:val="20"/>
              </w:rPr>
              <w:t>CLINBAC® 300 MG</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6C90509" w14:textId="5F3D3B8A" w:rsidR="00F80A08" w:rsidRPr="007A2115" w:rsidRDefault="0000624D" w:rsidP="008F6CCB">
            <w:pPr>
              <w:rPr>
                <w:rFonts w:ascii="Arial" w:eastAsia="Times New Roman" w:hAnsi="Arial" w:cs="Arial"/>
                <w:color w:val="000000"/>
                <w:sz w:val="20"/>
                <w:szCs w:val="20"/>
              </w:rPr>
            </w:pPr>
            <w:r w:rsidRPr="0000624D">
              <w:rPr>
                <w:rFonts w:ascii="Arial" w:eastAsia="Times New Roman" w:hAnsi="Arial" w:cs="Arial"/>
                <w:color w:val="000000"/>
                <w:sz w:val="20"/>
                <w:szCs w:val="20"/>
              </w:rPr>
              <w:t>LABQUIFAR LTDA.</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 Bogotá.</w:t>
            </w:r>
          </w:p>
        </w:tc>
      </w:tr>
      <w:tr w:rsidR="0000624D" w:rsidRPr="007A2115" w14:paraId="2DA01775"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6DBD" w14:textId="1DADE449" w:rsidR="0000624D" w:rsidRPr="007A2115" w:rsidRDefault="00AD66B0"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INVIMA2021M</w:t>
            </w:r>
            <w:r>
              <w:rPr>
                <w:rFonts w:ascii="Arial" w:eastAsia="Times New Roman" w:hAnsi="Arial" w:cs="Arial"/>
                <w:color w:val="000000"/>
                <w:sz w:val="20"/>
                <w:szCs w:val="20"/>
              </w:rPr>
              <w:t>-0007988-R1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933B192" w14:textId="4F36ED63" w:rsidR="0000624D" w:rsidRPr="0000624D" w:rsidRDefault="00AD66B0" w:rsidP="008F6CCB">
            <w:pPr>
              <w:rPr>
                <w:rFonts w:ascii="Arial" w:eastAsia="Times New Roman" w:hAnsi="Arial" w:cs="Arial"/>
                <w:color w:val="000000"/>
                <w:sz w:val="20"/>
                <w:szCs w:val="20"/>
              </w:rPr>
            </w:pPr>
            <w:r w:rsidRPr="00AD66B0">
              <w:rPr>
                <w:rFonts w:ascii="Arial" w:eastAsia="Times New Roman" w:hAnsi="Arial" w:cs="Arial"/>
                <w:color w:val="000000"/>
                <w:sz w:val="20"/>
                <w:szCs w:val="20"/>
              </w:rPr>
              <w:t>CLINDAMICINA  300 MG CAPSULAS</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3F2FF393" w14:textId="6CE5F2B9" w:rsidR="0000624D" w:rsidRPr="0000624D" w:rsidRDefault="00AD66B0" w:rsidP="008F6CCB">
            <w:pPr>
              <w:rPr>
                <w:rFonts w:ascii="Arial" w:eastAsia="Times New Roman" w:hAnsi="Arial" w:cs="Arial"/>
                <w:color w:val="000000"/>
                <w:sz w:val="20"/>
                <w:szCs w:val="20"/>
              </w:rPr>
            </w:pPr>
            <w:r w:rsidRPr="00AD66B0">
              <w:rPr>
                <w:rFonts w:ascii="Arial" w:eastAsia="Times New Roman" w:hAnsi="Arial" w:cs="Arial"/>
                <w:color w:val="000000"/>
                <w:sz w:val="20"/>
                <w:szCs w:val="20"/>
              </w:rPr>
              <w:t>MEMPHIS PRODUCTS S.A.</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 Bogotá.</w:t>
            </w:r>
          </w:p>
        </w:tc>
      </w:tr>
      <w:tr w:rsidR="0000624D" w:rsidRPr="007A2115" w14:paraId="6A6B04F4"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C8887" w14:textId="0F815E69" w:rsidR="0000624D" w:rsidRPr="007A2115" w:rsidRDefault="00AD66B0"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INVIMA2022M</w:t>
            </w:r>
            <w:r>
              <w:rPr>
                <w:rFonts w:ascii="Arial" w:eastAsia="Times New Roman" w:hAnsi="Arial" w:cs="Arial"/>
                <w:color w:val="000000"/>
                <w:sz w:val="20"/>
                <w:szCs w:val="20"/>
              </w:rPr>
              <w:t xml:space="preserve"> – 0007090-R2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51E9D40" w14:textId="39A222CE" w:rsidR="0000624D" w:rsidRPr="0000624D" w:rsidRDefault="00AD66B0" w:rsidP="008F6CCB">
            <w:pPr>
              <w:rPr>
                <w:rFonts w:ascii="Arial" w:eastAsia="Times New Roman" w:hAnsi="Arial" w:cs="Arial"/>
                <w:color w:val="000000"/>
                <w:sz w:val="20"/>
                <w:szCs w:val="20"/>
              </w:rPr>
            </w:pPr>
            <w:r w:rsidRPr="00AD66B0">
              <w:rPr>
                <w:rFonts w:ascii="Arial" w:eastAsia="Times New Roman" w:hAnsi="Arial" w:cs="Arial"/>
                <w:color w:val="000000"/>
                <w:sz w:val="20"/>
                <w:szCs w:val="20"/>
              </w:rPr>
              <w:t>CLINDAMICINA 300 MG CAPSULAS</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28383FA" w14:textId="388468AB" w:rsidR="0000624D" w:rsidRPr="0000624D" w:rsidRDefault="00AD66B0" w:rsidP="008F6CCB">
            <w:pPr>
              <w:rPr>
                <w:rFonts w:ascii="Arial" w:eastAsia="Times New Roman" w:hAnsi="Arial" w:cs="Arial"/>
                <w:color w:val="000000"/>
                <w:sz w:val="20"/>
                <w:szCs w:val="20"/>
              </w:rPr>
            </w:pPr>
            <w:r w:rsidRPr="00AD66B0">
              <w:rPr>
                <w:rFonts w:ascii="Arial" w:eastAsia="Times New Roman" w:hAnsi="Arial" w:cs="Arial"/>
                <w:color w:val="000000"/>
                <w:sz w:val="20"/>
                <w:szCs w:val="20"/>
              </w:rPr>
              <w:t>WINTHROP PHARMACEUTICALS DE COLOMBIA S.A.</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 Bogotá.</w:t>
            </w:r>
          </w:p>
        </w:tc>
      </w:tr>
      <w:tr w:rsidR="0000624D" w:rsidRPr="007A2115" w14:paraId="1CA37234"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95FF3" w14:textId="3F4C63F2" w:rsidR="0000624D" w:rsidRPr="007A2115" w:rsidRDefault="00AD66B0"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w:t>
            </w:r>
            <w:r>
              <w:rPr>
                <w:rFonts w:ascii="Arial" w:eastAsia="Times New Roman" w:hAnsi="Arial" w:cs="Arial"/>
                <w:color w:val="000000"/>
                <w:sz w:val="20"/>
                <w:szCs w:val="20"/>
              </w:rPr>
              <w:t>15</w:t>
            </w:r>
            <w:r w:rsidRPr="007A2115">
              <w:rPr>
                <w:rFonts w:ascii="Arial" w:eastAsia="Times New Roman" w:hAnsi="Arial" w:cs="Arial"/>
                <w:color w:val="000000"/>
                <w:sz w:val="20"/>
                <w:szCs w:val="20"/>
              </w:rPr>
              <w:t>M</w:t>
            </w:r>
            <w:r>
              <w:rPr>
                <w:rFonts w:ascii="Arial" w:eastAsia="Times New Roman" w:hAnsi="Arial" w:cs="Arial"/>
                <w:color w:val="000000"/>
                <w:sz w:val="20"/>
                <w:szCs w:val="20"/>
              </w:rPr>
              <w:t xml:space="preserve"> – 0003413-R1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682B8E1" w14:textId="5B77BF60" w:rsidR="0000624D" w:rsidRPr="0000624D" w:rsidRDefault="00AD66B0" w:rsidP="008F6CCB">
            <w:pPr>
              <w:rPr>
                <w:rFonts w:ascii="Arial" w:eastAsia="Times New Roman" w:hAnsi="Arial" w:cs="Arial"/>
                <w:color w:val="000000"/>
                <w:sz w:val="20"/>
                <w:szCs w:val="20"/>
              </w:rPr>
            </w:pPr>
            <w:r w:rsidRPr="00AD66B0">
              <w:rPr>
                <w:rFonts w:ascii="Arial" w:eastAsia="Times New Roman" w:hAnsi="Arial" w:cs="Arial"/>
                <w:color w:val="000000"/>
                <w:sz w:val="20"/>
                <w:szCs w:val="20"/>
              </w:rPr>
              <w:t>ACNIBEN(R) 300 MG CAPSULA</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6FFB7424" w14:textId="34C2B2B7" w:rsidR="0000624D" w:rsidRPr="0000624D" w:rsidRDefault="00AD66B0" w:rsidP="008F6CCB">
            <w:pPr>
              <w:rPr>
                <w:rFonts w:ascii="Arial" w:eastAsia="Times New Roman" w:hAnsi="Arial" w:cs="Arial"/>
                <w:color w:val="000000"/>
                <w:sz w:val="20"/>
                <w:szCs w:val="20"/>
              </w:rPr>
            </w:pPr>
            <w:r w:rsidRPr="00AD66B0">
              <w:rPr>
                <w:rFonts w:ascii="Arial" w:eastAsia="Times New Roman" w:hAnsi="Arial" w:cs="Arial"/>
                <w:color w:val="000000"/>
                <w:sz w:val="20"/>
                <w:szCs w:val="20"/>
              </w:rPr>
              <w:t xml:space="preserve">COOPERATIVA NACIONAL DE DROGUISTAS DETALLISTAS </w:t>
            </w:r>
            <w:r>
              <w:rPr>
                <w:rFonts w:ascii="Arial" w:eastAsia="Times New Roman" w:hAnsi="Arial" w:cs="Arial"/>
                <w:color w:val="000000"/>
                <w:sz w:val="20"/>
                <w:szCs w:val="20"/>
              </w:rPr>
              <w:t>–</w:t>
            </w:r>
            <w:r w:rsidRPr="00AD66B0">
              <w:rPr>
                <w:rFonts w:ascii="Arial" w:eastAsia="Times New Roman" w:hAnsi="Arial" w:cs="Arial"/>
                <w:color w:val="000000"/>
                <w:sz w:val="20"/>
                <w:szCs w:val="20"/>
              </w:rPr>
              <w:t xml:space="preserve"> COOPIDROGAS</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 Bogotá.</w:t>
            </w:r>
          </w:p>
        </w:tc>
      </w:tr>
      <w:tr w:rsidR="00AD66B0" w:rsidRPr="007A2115" w14:paraId="5CB1D970"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0147" w14:textId="0DE8893D" w:rsidR="00AD66B0" w:rsidRPr="007A2115" w:rsidRDefault="002F43E5"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INVIMA2020M</w:t>
            </w:r>
            <w:r>
              <w:rPr>
                <w:rFonts w:ascii="Arial" w:eastAsia="Times New Roman" w:hAnsi="Arial" w:cs="Arial"/>
                <w:color w:val="000000"/>
                <w:sz w:val="20"/>
                <w:szCs w:val="20"/>
              </w:rPr>
              <w:t>-0003029-R2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2EAC941" w14:textId="2C0FEDBB" w:rsidR="00AD66B0" w:rsidRPr="00AD66B0" w:rsidRDefault="001C2ABE" w:rsidP="008F6CCB">
            <w:pPr>
              <w:rPr>
                <w:rFonts w:ascii="Arial" w:eastAsia="Times New Roman" w:hAnsi="Arial" w:cs="Arial"/>
                <w:color w:val="000000"/>
                <w:sz w:val="20"/>
                <w:szCs w:val="20"/>
              </w:rPr>
            </w:pPr>
            <w:r w:rsidRPr="001C2ABE">
              <w:rPr>
                <w:rFonts w:ascii="Arial" w:eastAsia="Times New Roman" w:hAnsi="Arial" w:cs="Arial"/>
                <w:color w:val="000000"/>
                <w:sz w:val="20"/>
                <w:szCs w:val="20"/>
              </w:rPr>
              <w:t>CLINDAMICINA 300 MG CAPSULAS</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04376888" w14:textId="250F3AE2" w:rsidR="00AD66B0" w:rsidRPr="00AD66B0" w:rsidRDefault="001C2ABE" w:rsidP="008F6CCB">
            <w:pPr>
              <w:rPr>
                <w:rFonts w:ascii="Arial" w:eastAsia="Times New Roman" w:hAnsi="Arial" w:cs="Arial"/>
                <w:color w:val="000000"/>
                <w:sz w:val="20"/>
                <w:szCs w:val="20"/>
              </w:rPr>
            </w:pPr>
            <w:r w:rsidRPr="001C2ABE">
              <w:rPr>
                <w:rFonts w:ascii="Arial" w:eastAsia="Times New Roman" w:hAnsi="Arial" w:cs="Arial"/>
                <w:color w:val="000000"/>
                <w:sz w:val="20"/>
                <w:szCs w:val="20"/>
              </w:rPr>
              <w:t>PENTACOOP S.A.</w:t>
            </w:r>
            <w:r w:rsidRPr="007A2115">
              <w:rPr>
                <w:rFonts w:ascii="Arial" w:eastAsia="Times New Roman" w:hAnsi="Arial" w:cs="Arial"/>
                <w:color w:val="000000"/>
                <w:sz w:val="20"/>
                <w:szCs w:val="20"/>
              </w:rPr>
              <w:t xml:space="preserve"> con domicilio en Bogotá.</w:t>
            </w:r>
          </w:p>
        </w:tc>
      </w:tr>
      <w:tr w:rsidR="00AD66B0" w:rsidRPr="007A2115" w14:paraId="4D3975F1"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21ABF" w14:textId="7357C4A7" w:rsidR="00AD66B0" w:rsidRPr="007A2115" w:rsidRDefault="001C2ABE"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lastRenderedPageBreak/>
              <w:t>INVIMA2021M</w:t>
            </w:r>
            <w:r>
              <w:rPr>
                <w:rFonts w:ascii="Arial" w:eastAsia="Times New Roman" w:hAnsi="Arial" w:cs="Arial"/>
                <w:color w:val="000000"/>
                <w:sz w:val="20"/>
                <w:szCs w:val="20"/>
              </w:rPr>
              <w:t>-015007-R3</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6E48F1D1" w14:textId="680AC998" w:rsidR="00AD66B0" w:rsidRPr="00AD66B0" w:rsidRDefault="001C2ABE" w:rsidP="008F6CCB">
            <w:pPr>
              <w:rPr>
                <w:rFonts w:ascii="Arial" w:eastAsia="Times New Roman" w:hAnsi="Arial" w:cs="Arial"/>
                <w:color w:val="000000"/>
                <w:sz w:val="20"/>
                <w:szCs w:val="20"/>
              </w:rPr>
            </w:pPr>
            <w:r w:rsidRPr="001C2ABE">
              <w:rPr>
                <w:rFonts w:ascii="Arial" w:eastAsia="Times New Roman" w:hAnsi="Arial" w:cs="Arial"/>
                <w:color w:val="000000"/>
                <w:sz w:val="20"/>
                <w:szCs w:val="20"/>
              </w:rPr>
              <w:t>CLINDAMICINA 300 MG</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7F71D65C" w14:textId="59F4645B" w:rsidR="00AD66B0" w:rsidRPr="00AD66B0" w:rsidRDefault="001C2ABE" w:rsidP="008F6CCB">
            <w:pPr>
              <w:rPr>
                <w:rFonts w:ascii="Arial" w:eastAsia="Times New Roman" w:hAnsi="Arial" w:cs="Arial"/>
                <w:color w:val="000000"/>
                <w:sz w:val="20"/>
                <w:szCs w:val="20"/>
              </w:rPr>
            </w:pPr>
            <w:r w:rsidRPr="001C2ABE">
              <w:rPr>
                <w:rFonts w:ascii="Arial" w:eastAsia="Times New Roman" w:hAnsi="Arial" w:cs="Arial"/>
                <w:color w:val="000000"/>
                <w:sz w:val="20"/>
                <w:szCs w:val="20"/>
              </w:rPr>
              <w:t>LABORATORIOS MK S.A.S.</w:t>
            </w:r>
            <w:r w:rsidRPr="007A2115">
              <w:rPr>
                <w:rFonts w:ascii="Arial" w:eastAsia="Times New Roman" w:hAnsi="Arial" w:cs="Arial"/>
                <w:color w:val="000000"/>
                <w:sz w:val="20"/>
                <w:szCs w:val="20"/>
              </w:rPr>
              <w:t xml:space="preserve"> con domicilio en</w:t>
            </w:r>
            <w:r>
              <w:rPr>
                <w:rFonts w:ascii="Arial" w:eastAsia="Times New Roman" w:hAnsi="Arial" w:cs="Arial"/>
                <w:color w:val="000000"/>
                <w:sz w:val="20"/>
                <w:szCs w:val="20"/>
              </w:rPr>
              <w:t xml:space="preserve"> Cali.</w:t>
            </w:r>
          </w:p>
        </w:tc>
      </w:tr>
      <w:tr w:rsidR="00B53A2B" w:rsidRPr="007A2115" w14:paraId="1A09E530"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F359D" w14:textId="0E833CC0" w:rsidR="00B53A2B" w:rsidRPr="007A2115" w:rsidRDefault="00B53A2B"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INVIMA2020M</w:t>
            </w:r>
            <w:r>
              <w:rPr>
                <w:rFonts w:ascii="Arial" w:eastAsia="Times New Roman" w:hAnsi="Arial" w:cs="Arial"/>
                <w:color w:val="000000"/>
                <w:sz w:val="20"/>
                <w:szCs w:val="20"/>
              </w:rPr>
              <w:t>- 012172-R2</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E889CC8" w14:textId="1988B5E7" w:rsidR="00B53A2B" w:rsidRPr="001C2ABE" w:rsidRDefault="00B53A2B" w:rsidP="008F6CCB">
            <w:pPr>
              <w:rPr>
                <w:rFonts w:ascii="Arial" w:eastAsia="Times New Roman" w:hAnsi="Arial" w:cs="Arial"/>
                <w:color w:val="000000"/>
                <w:sz w:val="20"/>
                <w:szCs w:val="20"/>
              </w:rPr>
            </w:pPr>
            <w:r w:rsidRPr="00B53A2B">
              <w:rPr>
                <w:rFonts w:ascii="Arial" w:eastAsia="Times New Roman" w:hAnsi="Arial" w:cs="Arial"/>
                <w:color w:val="000000"/>
                <w:sz w:val="20"/>
                <w:szCs w:val="20"/>
              </w:rPr>
              <w:t>DAMICLIN 300 MG</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9F368D7" w14:textId="71D10F5B" w:rsidR="00B53A2B" w:rsidRPr="001C2ABE" w:rsidRDefault="00B53A2B" w:rsidP="008F6CCB">
            <w:pPr>
              <w:rPr>
                <w:rFonts w:ascii="Arial" w:eastAsia="Times New Roman" w:hAnsi="Arial" w:cs="Arial"/>
                <w:color w:val="000000"/>
                <w:sz w:val="20"/>
                <w:szCs w:val="20"/>
              </w:rPr>
            </w:pPr>
            <w:r w:rsidRPr="00B53A2B">
              <w:rPr>
                <w:rFonts w:ascii="Arial" w:eastAsia="Times New Roman" w:hAnsi="Arial" w:cs="Arial"/>
                <w:color w:val="000000"/>
                <w:sz w:val="20"/>
                <w:szCs w:val="20"/>
              </w:rPr>
              <w:t>TECNOQUIMICAS S.A.</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w:t>
            </w:r>
            <w:r>
              <w:rPr>
                <w:rFonts w:ascii="Arial" w:eastAsia="Times New Roman" w:hAnsi="Arial" w:cs="Arial"/>
                <w:color w:val="000000"/>
                <w:sz w:val="20"/>
                <w:szCs w:val="20"/>
              </w:rPr>
              <w:t xml:space="preserve"> Cali.</w:t>
            </w:r>
          </w:p>
        </w:tc>
      </w:tr>
      <w:tr w:rsidR="00BB3A03" w:rsidRPr="007A2115" w14:paraId="6849E16C"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80C33" w14:textId="4A9D780D" w:rsidR="00BB3A03" w:rsidRPr="007A2115" w:rsidRDefault="00BB3A03"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w:t>
            </w:r>
            <w:r>
              <w:rPr>
                <w:rFonts w:ascii="Arial" w:eastAsia="Times New Roman" w:hAnsi="Arial" w:cs="Arial"/>
                <w:color w:val="000000"/>
                <w:sz w:val="20"/>
                <w:szCs w:val="20"/>
              </w:rPr>
              <w:t>2018M-14339-R3</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2738DE1E" w14:textId="76B389B9" w:rsidR="00BB3A03" w:rsidRPr="00B53A2B" w:rsidRDefault="00BB3A03" w:rsidP="008F6CCB">
            <w:pPr>
              <w:rPr>
                <w:rFonts w:ascii="Arial" w:eastAsia="Times New Roman" w:hAnsi="Arial" w:cs="Arial"/>
                <w:color w:val="000000"/>
                <w:sz w:val="20"/>
                <w:szCs w:val="20"/>
              </w:rPr>
            </w:pPr>
            <w:r w:rsidRPr="00BB3A03">
              <w:rPr>
                <w:rFonts w:ascii="Arial" w:eastAsia="Times New Roman" w:hAnsi="Arial" w:cs="Arial"/>
                <w:color w:val="000000"/>
                <w:sz w:val="20"/>
                <w:szCs w:val="20"/>
              </w:rPr>
              <w:t>DALACIN® C 300 MG CAPSULAS</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4BADDED1" w14:textId="70AE719F" w:rsidR="00BB3A03" w:rsidRPr="00B53A2B" w:rsidRDefault="00BB3A03" w:rsidP="008F6CCB">
            <w:pPr>
              <w:rPr>
                <w:rFonts w:ascii="Arial" w:eastAsia="Times New Roman" w:hAnsi="Arial" w:cs="Arial"/>
                <w:color w:val="000000"/>
                <w:sz w:val="20"/>
                <w:szCs w:val="20"/>
              </w:rPr>
            </w:pPr>
            <w:r w:rsidRPr="00BB3A03">
              <w:rPr>
                <w:rFonts w:ascii="Arial" w:eastAsia="Times New Roman" w:hAnsi="Arial" w:cs="Arial"/>
                <w:color w:val="000000"/>
                <w:sz w:val="20"/>
                <w:szCs w:val="20"/>
              </w:rPr>
              <w:t>PFIZER S.A.S.</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 Bogotá.</w:t>
            </w:r>
          </w:p>
        </w:tc>
      </w:tr>
      <w:tr w:rsidR="001B6193" w:rsidRPr="007A2115" w14:paraId="3837B905" w14:textId="77777777" w:rsidTr="00F80A08">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CE4E7" w14:textId="1B0EE237" w:rsidR="001B6193" w:rsidRPr="007A2115" w:rsidRDefault="001B6193" w:rsidP="008F6CCB">
            <w:pPr>
              <w:rPr>
                <w:rFonts w:ascii="Arial" w:eastAsia="Times New Roman" w:hAnsi="Arial" w:cs="Arial"/>
                <w:color w:val="000000"/>
                <w:sz w:val="20"/>
                <w:szCs w:val="20"/>
              </w:rPr>
            </w:pPr>
            <w:r w:rsidRPr="007A2115">
              <w:rPr>
                <w:rFonts w:ascii="Arial" w:eastAsia="Times New Roman" w:hAnsi="Arial" w:cs="Arial"/>
                <w:color w:val="000000"/>
                <w:sz w:val="20"/>
                <w:szCs w:val="20"/>
              </w:rPr>
              <w:t>INVIMA2022M</w:t>
            </w:r>
            <w:r>
              <w:rPr>
                <w:rFonts w:ascii="Arial" w:eastAsia="Times New Roman" w:hAnsi="Arial" w:cs="Arial"/>
                <w:color w:val="000000"/>
                <w:sz w:val="20"/>
                <w:szCs w:val="20"/>
              </w:rPr>
              <w:t>-003918-R3</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9C62372" w14:textId="5B1473BC" w:rsidR="001B6193" w:rsidRPr="00BB3A03" w:rsidRDefault="001B6193" w:rsidP="008F6CCB">
            <w:pPr>
              <w:rPr>
                <w:rFonts w:ascii="Arial" w:eastAsia="Times New Roman" w:hAnsi="Arial" w:cs="Arial"/>
                <w:color w:val="000000"/>
                <w:sz w:val="20"/>
                <w:szCs w:val="20"/>
              </w:rPr>
            </w:pPr>
            <w:r w:rsidRPr="001B6193">
              <w:rPr>
                <w:rFonts w:ascii="Arial" w:eastAsia="Times New Roman" w:hAnsi="Arial" w:cs="Arial"/>
                <w:color w:val="000000"/>
                <w:sz w:val="20"/>
                <w:szCs w:val="20"/>
              </w:rPr>
              <w:t>CLINDAMICINA CAPSULAS 300 MG.</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514AA8BA" w14:textId="54C2E6C8" w:rsidR="001B6193" w:rsidRPr="00BB3A03" w:rsidRDefault="001B6193" w:rsidP="008F6CCB">
            <w:pPr>
              <w:rPr>
                <w:rFonts w:ascii="Arial" w:eastAsia="Times New Roman" w:hAnsi="Arial" w:cs="Arial"/>
                <w:color w:val="000000"/>
                <w:sz w:val="20"/>
                <w:szCs w:val="20"/>
              </w:rPr>
            </w:pPr>
            <w:r w:rsidRPr="001B6193">
              <w:rPr>
                <w:rFonts w:ascii="Arial" w:eastAsia="Times New Roman" w:hAnsi="Arial" w:cs="Arial"/>
                <w:color w:val="000000"/>
                <w:sz w:val="20"/>
                <w:szCs w:val="20"/>
              </w:rPr>
              <w:t>LABORATORIOS LA SANTÉ S.A.</w:t>
            </w:r>
            <w:r>
              <w:rPr>
                <w:rFonts w:ascii="Arial" w:eastAsia="Times New Roman" w:hAnsi="Arial" w:cs="Arial"/>
                <w:color w:val="000000"/>
                <w:sz w:val="20"/>
                <w:szCs w:val="20"/>
              </w:rPr>
              <w:t xml:space="preserve"> </w:t>
            </w:r>
            <w:r w:rsidRPr="007A2115">
              <w:rPr>
                <w:rFonts w:ascii="Arial" w:eastAsia="Times New Roman" w:hAnsi="Arial" w:cs="Arial"/>
                <w:color w:val="000000"/>
                <w:sz w:val="20"/>
                <w:szCs w:val="20"/>
              </w:rPr>
              <w:t>con domicilio en Bogotá.</w:t>
            </w:r>
          </w:p>
        </w:tc>
      </w:tr>
    </w:tbl>
    <w:p w14:paraId="77B4AEDE" w14:textId="701B8988" w:rsidR="000678D8" w:rsidRDefault="000678D8" w:rsidP="000678D8">
      <w:pPr>
        <w:jc w:val="both"/>
        <w:rPr>
          <w:rFonts w:ascii="Arial" w:hAnsi="Arial" w:cs="Arial"/>
          <w:sz w:val="20"/>
          <w:szCs w:val="20"/>
        </w:rPr>
      </w:pPr>
    </w:p>
    <w:p w14:paraId="6B7827A8" w14:textId="33EF9C16" w:rsidR="00F77828" w:rsidRPr="007A2115" w:rsidRDefault="00F77828" w:rsidP="000678D8">
      <w:pPr>
        <w:jc w:val="both"/>
        <w:rPr>
          <w:rFonts w:ascii="Arial" w:hAnsi="Arial" w:cs="Arial"/>
          <w:sz w:val="20"/>
          <w:szCs w:val="20"/>
        </w:rPr>
      </w:pPr>
      <w:r>
        <w:rPr>
          <w:rFonts w:ascii="Arial" w:hAnsi="Arial" w:cs="Arial"/>
          <w:sz w:val="20"/>
          <w:szCs w:val="20"/>
        </w:rPr>
        <w:t xml:space="preserve">No se incluyen los registros sanitarios correspondientes </w:t>
      </w:r>
      <w:r w:rsidR="00882AD8">
        <w:rPr>
          <w:rFonts w:ascii="Arial" w:hAnsi="Arial" w:cs="Arial"/>
          <w:sz w:val="20"/>
          <w:szCs w:val="20"/>
        </w:rPr>
        <w:t xml:space="preserve">a </w:t>
      </w:r>
      <w:r>
        <w:rPr>
          <w:rFonts w:ascii="Arial" w:hAnsi="Arial" w:cs="Arial"/>
          <w:sz w:val="20"/>
          <w:szCs w:val="20"/>
        </w:rPr>
        <w:t xml:space="preserve">gel tópico y óvulos vaginales; toda vez que la información de seguridad y la evidencia científica, no mencionan estas formas farmacéuticas. </w:t>
      </w:r>
    </w:p>
    <w:p w14:paraId="69A579A6" w14:textId="77777777" w:rsidR="000678D8" w:rsidRPr="007A2115" w:rsidRDefault="000678D8" w:rsidP="000678D8">
      <w:pPr>
        <w:pStyle w:val="TableParagraph"/>
        <w:spacing w:before="11"/>
        <w:ind w:left="16"/>
        <w:rPr>
          <w:rFonts w:ascii="Arial" w:hAnsi="Arial" w:cs="Arial"/>
          <w:b/>
          <w:bCs/>
          <w:sz w:val="20"/>
          <w:szCs w:val="20"/>
        </w:rPr>
      </w:pPr>
      <w:r w:rsidRPr="007A2115">
        <w:rPr>
          <w:rFonts w:ascii="Arial" w:hAnsi="Arial" w:cs="Arial"/>
          <w:b/>
          <w:bCs/>
          <w:sz w:val="20"/>
          <w:szCs w:val="20"/>
        </w:rPr>
        <w:t>3. CONCLUSIONES:</w:t>
      </w:r>
    </w:p>
    <w:p w14:paraId="0C38D104" w14:textId="77777777" w:rsidR="000678D8" w:rsidRPr="007A2115" w:rsidRDefault="000678D8" w:rsidP="000678D8">
      <w:pPr>
        <w:pStyle w:val="TableParagraph"/>
        <w:spacing w:before="11"/>
        <w:ind w:left="16"/>
        <w:rPr>
          <w:rFonts w:ascii="Arial" w:hAnsi="Arial" w:cs="Arial"/>
          <w:b/>
          <w:bCs/>
          <w:sz w:val="20"/>
          <w:szCs w:val="20"/>
        </w:rPr>
      </w:pPr>
    </w:p>
    <w:p w14:paraId="227D394A" w14:textId="1BA118D6" w:rsidR="0086279C" w:rsidRDefault="0086279C" w:rsidP="00CB0871">
      <w:pPr>
        <w:pStyle w:val="TableParagraph"/>
        <w:spacing w:before="11"/>
        <w:ind w:left="16"/>
        <w:jc w:val="both"/>
        <w:rPr>
          <w:rFonts w:ascii="Arial" w:hAnsi="Arial" w:cs="Arial"/>
          <w:bCs/>
          <w:sz w:val="20"/>
          <w:szCs w:val="20"/>
        </w:rPr>
      </w:pPr>
      <w:r w:rsidRPr="007A2115">
        <w:rPr>
          <w:rFonts w:ascii="Arial" w:hAnsi="Arial" w:cs="Arial"/>
          <w:bCs/>
          <w:sz w:val="20"/>
          <w:szCs w:val="20"/>
        </w:rPr>
        <w:t>Revisada la información relacionada con el principio activo clindamicina, se evidenci</w:t>
      </w:r>
      <w:r w:rsidR="00862E6D" w:rsidRPr="007A2115">
        <w:rPr>
          <w:rFonts w:ascii="Arial" w:hAnsi="Arial" w:cs="Arial"/>
          <w:bCs/>
          <w:sz w:val="20"/>
          <w:szCs w:val="20"/>
        </w:rPr>
        <w:t>ó</w:t>
      </w:r>
      <w:r w:rsidRPr="007A2115">
        <w:rPr>
          <w:rFonts w:ascii="Arial" w:hAnsi="Arial" w:cs="Arial"/>
          <w:bCs/>
          <w:sz w:val="20"/>
          <w:szCs w:val="20"/>
        </w:rPr>
        <w:t xml:space="preserve"> en diferentes Agencias de Referencia y en la literatura científica evaluada que, aunque el uso de este antibiótico </w:t>
      </w:r>
      <w:r w:rsidR="00862E6D" w:rsidRPr="007A2115">
        <w:rPr>
          <w:rFonts w:ascii="Arial" w:hAnsi="Arial" w:cs="Arial"/>
          <w:bCs/>
          <w:sz w:val="20"/>
          <w:szCs w:val="20"/>
        </w:rPr>
        <w:t xml:space="preserve">no se ha relacionado con casos frecuentes de </w:t>
      </w:r>
      <w:r w:rsidR="00622286">
        <w:rPr>
          <w:rFonts w:ascii="Arial" w:hAnsi="Arial" w:cs="Arial"/>
          <w:color w:val="000000"/>
          <w:sz w:val="20"/>
          <w:szCs w:val="20"/>
        </w:rPr>
        <w:t>lesión</w:t>
      </w:r>
      <w:r w:rsidR="00622286" w:rsidRPr="007A2115">
        <w:rPr>
          <w:rFonts w:ascii="Arial" w:hAnsi="Arial" w:cs="Arial"/>
          <w:color w:val="000000"/>
          <w:sz w:val="20"/>
          <w:szCs w:val="20"/>
        </w:rPr>
        <w:t xml:space="preserve"> renal agud</w:t>
      </w:r>
      <w:r w:rsidR="00622286">
        <w:rPr>
          <w:rFonts w:ascii="Arial" w:hAnsi="Arial" w:cs="Arial"/>
          <w:color w:val="000000"/>
          <w:sz w:val="20"/>
          <w:szCs w:val="20"/>
        </w:rPr>
        <w:t>a</w:t>
      </w:r>
      <w:r w:rsidR="008F5166" w:rsidRPr="007A2115">
        <w:rPr>
          <w:rFonts w:ascii="Arial" w:hAnsi="Arial" w:cs="Arial"/>
          <w:bCs/>
          <w:sz w:val="20"/>
          <w:szCs w:val="20"/>
        </w:rPr>
        <w:t xml:space="preserve">; </w:t>
      </w:r>
      <w:r w:rsidR="00862E6D" w:rsidRPr="007A2115">
        <w:rPr>
          <w:rFonts w:ascii="Arial" w:hAnsi="Arial" w:cs="Arial"/>
          <w:bCs/>
          <w:sz w:val="20"/>
          <w:szCs w:val="20"/>
        </w:rPr>
        <w:t>si se han reportado casos aislados en población de pacientes especifica. Por lo tanto,</w:t>
      </w:r>
      <w:r w:rsidR="00F2231E">
        <w:rPr>
          <w:rFonts w:ascii="Arial" w:hAnsi="Arial" w:cs="Arial"/>
          <w:bCs/>
          <w:sz w:val="20"/>
          <w:szCs w:val="20"/>
        </w:rPr>
        <w:t xml:space="preserve"> se ha generado</w:t>
      </w:r>
      <w:r w:rsidR="00862E6D" w:rsidRPr="007A2115">
        <w:rPr>
          <w:rFonts w:ascii="Arial" w:hAnsi="Arial" w:cs="Arial"/>
          <w:bCs/>
          <w:sz w:val="20"/>
          <w:szCs w:val="20"/>
        </w:rPr>
        <w:t xml:space="preserve"> este informe de seguridad con el fin de que sea evaluada la pertinencia de</w:t>
      </w:r>
      <w:r w:rsidR="00190589">
        <w:rPr>
          <w:rFonts w:ascii="Arial" w:hAnsi="Arial" w:cs="Arial"/>
          <w:bCs/>
          <w:sz w:val="20"/>
          <w:szCs w:val="20"/>
        </w:rPr>
        <w:t xml:space="preserve"> realizar</w:t>
      </w:r>
      <w:r w:rsidR="00862E6D" w:rsidRPr="007A2115">
        <w:rPr>
          <w:rFonts w:ascii="Arial" w:hAnsi="Arial" w:cs="Arial"/>
          <w:bCs/>
          <w:sz w:val="20"/>
          <w:szCs w:val="20"/>
        </w:rPr>
        <w:t xml:space="preserve"> la inclusión de esta información de seguridad en los registros sanitarios</w:t>
      </w:r>
      <w:r w:rsidR="001C0685">
        <w:rPr>
          <w:rFonts w:ascii="Arial" w:hAnsi="Arial" w:cs="Arial"/>
          <w:bCs/>
          <w:sz w:val="20"/>
          <w:szCs w:val="20"/>
        </w:rPr>
        <w:t xml:space="preserve"> vigentes, para los productos que contienen </w:t>
      </w:r>
      <w:r w:rsidR="008F5166" w:rsidRPr="007A2115">
        <w:rPr>
          <w:rFonts w:ascii="Arial" w:hAnsi="Arial" w:cs="Arial"/>
          <w:bCs/>
          <w:sz w:val="20"/>
          <w:szCs w:val="20"/>
        </w:rPr>
        <w:t>este principio activo</w:t>
      </w:r>
      <w:r w:rsidR="00CB0871">
        <w:rPr>
          <w:rFonts w:ascii="Arial" w:hAnsi="Arial" w:cs="Arial"/>
          <w:bCs/>
          <w:sz w:val="20"/>
          <w:szCs w:val="20"/>
        </w:rPr>
        <w:t>.</w:t>
      </w:r>
    </w:p>
    <w:p w14:paraId="12775E0E" w14:textId="77777777" w:rsidR="00EC0394" w:rsidRPr="007A2115" w:rsidRDefault="00EC0394" w:rsidP="00CB0871">
      <w:pPr>
        <w:pStyle w:val="TableParagraph"/>
        <w:spacing w:before="11"/>
        <w:ind w:left="16"/>
        <w:jc w:val="both"/>
        <w:rPr>
          <w:rFonts w:ascii="Arial" w:hAnsi="Arial" w:cs="Arial"/>
          <w:b/>
          <w:bCs/>
          <w:sz w:val="20"/>
          <w:szCs w:val="20"/>
        </w:rPr>
      </w:pPr>
    </w:p>
    <w:p w14:paraId="465A2B0C" w14:textId="77777777" w:rsidR="000678D8" w:rsidRPr="007A2115" w:rsidRDefault="000678D8" w:rsidP="000678D8">
      <w:pPr>
        <w:pStyle w:val="TableParagraph"/>
        <w:spacing w:before="11"/>
        <w:ind w:left="16"/>
        <w:rPr>
          <w:rFonts w:ascii="Arial" w:hAnsi="Arial" w:cs="Arial"/>
          <w:b/>
          <w:bCs/>
          <w:sz w:val="20"/>
          <w:szCs w:val="20"/>
        </w:rPr>
      </w:pPr>
      <w:r w:rsidRPr="007A2115">
        <w:rPr>
          <w:rFonts w:ascii="Arial" w:hAnsi="Arial" w:cs="Arial"/>
          <w:b/>
          <w:bCs/>
          <w:sz w:val="20"/>
          <w:szCs w:val="20"/>
        </w:rPr>
        <w:t>4.  RECOMENDACIONES:</w:t>
      </w:r>
    </w:p>
    <w:p w14:paraId="0C325191" w14:textId="672B9699" w:rsidR="000678D8" w:rsidRPr="007A2115" w:rsidRDefault="000678D8" w:rsidP="000678D8">
      <w:pPr>
        <w:pStyle w:val="TableParagraph"/>
        <w:spacing w:before="11"/>
        <w:ind w:left="16"/>
        <w:rPr>
          <w:rFonts w:ascii="Arial" w:hAnsi="Arial" w:cs="Arial"/>
          <w:b/>
          <w:bCs/>
          <w:sz w:val="20"/>
          <w:szCs w:val="20"/>
        </w:rPr>
      </w:pPr>
    </w:p>
    <w:p w14:paraId="0E3D6A10" w14:textId="5AEED10E" w:rsidR="00D471D1" w:rsidRDefault="00D471D1" w:rsidP="00D471D1">
      <w:pPr>
        <w:pStyle w:val="TableParagraph"/>
        <w:spacing w:before="11"/>
        <w:ind w:left="16"/>
        <w:jc w:val="both"/>
        <w:rPr>
          <w:rFonts w:ascii="Arial" w:hAnsi="Arial" w:cs="Arial"/>
          <w:color w:val="000000"/>
          <w:sz w:val="20"/>
          <w:szCs w:val="20"/>
        </w:rPr>
      </w:pPr>
      <w:r w:rsidRPr="007A2115">
        <w:rPr>
          <w:rFonts w:ascii="Arial" w:hAnsi="Arial" w:cs="Arial"/>
          <w:color w:val="000000"/>
          <w:sz w:val="20"/>
          <w:szCs w:val="20"/>
        </w:rPr>
        <w:t xml:space="preserve">Se solicita </w:t>
      </w:r>
      <w:r w:rsidR="00FA4765" w:rsidRPr="00FA4765">
        <w:rPr>
          <w:rFonts w:ascii="Arial" w:hAnsi="Arial" w:cs="Arial"/>
          <w:b/>
          <w:bCs/>
          <w:color w:val="000000"/>
          <w:sz w:val="20"/>
          <w:szCs w:val="20"/>
        </w:rPr>
        <w:t>LLAMAR A REVISIÓN DE OFICIO</w:t>
      </w:r>
      <w:r w:rsidR="00FA4765" w:rsidRPr="007A2115">
        <w:rPr>
          <w:rFonts w:ascii="Arial" w:hAnsi="Arial" w:cs="Arial"/>
          <w:color w:val="000000"/>
          <w:sz w:val="20"/>
          <w:szCs w:val="20"/>
        </w:rPr>
        <w:t xml:space="preserve"> </w:t>
      </w:r>
      <w:r w:rsidRPr="007A2115">
        <w:rPr>
          <w:rFonts w:ascii="Arial" w:hAnsi="Arial" w:cs="Arial"/>
          <w:color w:val="000000"/>
          <w:sz w:val="20"/>
          <w:szCs w:val="20"/>
        </w:rPr>
        <w:t>a todos los productos que contengan el principio activo clindamicina</w:t>
      </w:r>
      <w:r w:rsidR="00AD4703">
        <w:rPr>
          <w:rFonts w:ascii="Arial" w:hAnsi="Arial" w:cs="Arial"/>
          <w:color w:val="000000"/>
          <w:sz w:val="20"/>
          <w:szCs w:val="20"/>
        </w:rPr>
        <w:t xml:space="preserve"> en la forma farmacéutica solución inyectable y cápsulas</w:t>
      </w:r>
      <w:r w:rsidRPr="007A2115">
        <w:rPr>
          <w:rFonts w:ascii="Arial" w:hAnsi="Arial" w:cs="Arial"/>
          <w:color w:val="000000"/>
          <w:sz w:val="20"/>
          <w:szCs w:val="20"/>
        </w:rPr>
        <w:t>, con el fin de que se incluya la siguiente información de seguridad:</w:t>
      </w:r>
    </w:p>
    <w:p w14:paraId="524C1B6A" w14:textId="4CC48102" w:rsidR="00126A89" w:rsidRDefault="00126A89" w:rsidP="00D471D1">
      <w:pPr>
        <w:pStyle w:val="TableParagraph"/>
        <w:spacing w:before="11"/>
        <w:ind w:left="16"/>
        <w:jc w:val="both"/>
        <w:rPr>
          <w:rFonts w:ascii="Arial" w:hAnsi="Arial" w:cs="Arial"/>
          <w:b/>
          <w:bCs/>
          <w:sz w:val="20"/>
          <w:szCs w:val="20"/>
        </w:rPr>
      </w:pPr>
    </w:p>
    <w:p w14:paraId="2995F8DA" w14:textId="5E459DBF" w:rsidR="00126A89" w:rsidRPr="00126A89" w:rsidRDefault="00126A89" w:rsidP="00D471D1">
      <w:pPr>
        <w:pStyle w:val="TableParagraph"/>
        <w:spacing w:before="11"/>
        <w:ind w:left="16"/>
        <w:jc w:val="both"/>
        <w:rPr>
          <w:rFonts w:ascii="Arial" w:hAnsi="Arial" w:cs="Arial"/>
          <w:bCs/>
          <w:i/>
          <w:sz w:val="20"/>
          <w:szCs w:val="20"/>
        </w:rPr>
      </w:pPr>
      <w:r w:rsidRPr="00126A89">
        <w:rPr>
          <w:rFonts w:ascii="Arial" w:hAnsi="Arial" w:cs="Arial"/>
          <w:bCs/>
          <w:i/>
          <w:sz w:val="20"/>
          <w:szCs w:val="20"/>
        </w:rPr>
        <w:t>"La clindamicina es potencialmente nefrotóxica. Se han notificado casos de lesión renal aguda, incluida insuficiencia renal aguda con el uso de este medicamento, por lo tanto, se debe considerar el control de la función renal durante el tratamiento de pacientes con disfunción renal preexistente o que toman medicamentos nefrotóxicos concomitantes y se debe realizar un control de la función renal si el tratamiento es prolongado."</w:t>
      </w:r>
    </w:p>
    <w:p w14:paraId="6C44E84E" w14:textId="77777777" w:rsidR="000678D8" w:rsidRPr="007A2115" w:rsidRDefault="000678D8" w:rsidP="000678D8">
      <w:pPr>
        <w:pStyle w:val="TableParagraph"/>
        <w:spacing w:before="11"/>
        <w:ind w:left="16"/>
        <w:rPr>
          <w:rFonts w:ascii="Arial" w:hAnsi="Arial" w:cs="Arial"/>
          <w:b/>
          <w:bCs/>
          <w:sz w:val="20"/>
          <w:szCs w:val="20"/>
        </w:rPr>
      </w:pPr>
    </w:p>
    <w:p w14:paraId="2A90D805" w14:textId="6E39F92D" w:rsidR="000678D8" w:rsidRPr="007A2115" w:rsidRDefault="000678D8" w:rsidP="004B68C4">
      <w:pPr>
        <w:pStyle w:val="TableParagraph"/>
        <w:numPr>
          <w:ilvl w:val="0"/>
          <w:numId w:val="9"/>
        </w:numPr>
        <w:spacing w:before="11"/>
        <w:rPr>
          <w:rFonts w:ascii="Arial" w:hAnsi="Arial" w:cs="Arial"/>
          <w:b/>
          <w:bCs/>
          <w:sz w:val="20"/>
          <w:szCs w:val="20"/>
        </w:rPr>
      </w:pPr>
      <w:r w:rsidRPr="007A2115">
        <w:rPr>
          <w:rFonts w:ascii="Arial" w:hAnsi="Arial" w:cs="Arial"/>
          <w:b/>
          <w:bCs/>
          <w:sz w:val="20"/>
          <w:szCs w:val="20"/>
        </w:rPr>
        <w:t>REFERENCIAS BIBLIOGRAFICAS:</w:t>
      </w:r>
    </w:p>
    <w:p w14:paraId="11BC1003" w14:textId="3031FFDE" w:rsidR="000678D8" w:rsidRPr="007A2115" w:rsidRDefault="000678D8" w:rsidP="000678D8">
      <w:pPr>
        <w:pStyle w:val="TableParagraph"/>
        <w:spacing w:before="11"/>
        <w:rPr>
          <w:rFonts w:ascii="Arial" w:hAnsi="Arial" w:cs="Arial"/>
          <w:b/>
          <w:bCs/>
          <w:sz w:val="20"/>
          <w:szCs w:val="20"/>
        </w:rPr>
      </w:pPr>
    </w:p>
    <w:p w14:paraId="15D25830" w14:textId="3F7B3A4D" w:rsidR="000678D8" w:rsidRPr="00D97158" w:rsidRDefault="00693BB5" w:rsidP="00D611CA">
      <w:pPr>
        <w:pStyle w:val="TableParagraph"/>
        <w:numPr>
          <w:ilvl w:val="0"/>
          <w:numId w:val="11"/>
        </w:numPr>
        <w:spacing w:before="11"/>
        <w:jc w:val="both"/>
        <w:rPr>
          <w:rStyle w:val="Hipervnculo"/>
          <w:rFonts w:ascii="Arial" w:hAnsi="Arial" w:cs="Arial"/>
          <w:bCs/>
          <w:color w:val="auto"/>
          <w:sz w:val="20"/>
          <w:szCs w:val="20"/>
          <w:u w:val="none"/>
          <w:lang w:val="en-US"/>
        </w:rPr>
      </w:pPr>
      <w:r w:rsidRPr="00D97158">
        <w:rPr>
          <w:rFonts w:ascii="Arial" w:hAnsi="Arial" w:cs="Arial"/>
          <w:bCs/>
          <w:sz w:val="20"/>
          <w:szCs w:val="20"/>
          <w:lang w:val="en-US"/>
        </w:rPr>
        <w:t>European Medicines Agency EMA. Pharmacovigilance Risk Assessment Committee (PRAC). Minutes for the meeting on 03-06 May 2021. Recuperado: marzo 22 del 2023.</w:t>
      </w:r>
      <w:r w:rsidRPr="00D97158">
        <w:rPr>
          <w:rFonts w:ascii="Arial" w:hAnsi="Arial" w:cs="Arial"/>
          <w:sz w:val="20"/>
          <w:szCs w:val="20"/>
          <w:lang w:val="en-US"/>
        </w:rPr>
        <w:t xml:space="preserve"> </w:t>
      </w:r>
      <w:hyperlink r:id="rId13" w:history="1">
        <w:r w:rsidRPr="00D97158">
          <w:rPr>
            <w:rStyle w:val="Hipervnculo"/>
            <w:rFonts w:ascii="Arial" w:hAnsi="Arial" w:cs="Arial"/>
            <w:bCs/>
            <w:sz w:val="20"/>
            <w:szCs w:val="20"/>
            <w:lang w:val="en-US"/>
          </w:rPr>
          <w:t>https://www.ema.europa.eu/en/documents/minutes/minutes-prac-meeting-3-6-may-2021_.pdf</w:t>
        </w:r>
      </w:hyperlink>
    </w:p>
    <w:p w14:paraId="75787A74" w14:textId="77777777" w:rsidR="00213555" w:rsidRPr="00D97158" w:rsidRDefault="00213555" w:rsidP="00D611CA">
      <w:pPr>
        <w:pStyle w:val="TableParagraph"/>
        <w:spacing w:before="11"/>
        <w:ind w:left="720"/>
        <w:jc w:val="both"/>
        <w:rPr>
          <w:rFonts w:ascii="Arial" w:hAnsi="Arial" w:cs="Arial"/>
          <w:bCs/>
          <w:sz w:val="20"/>
          <w:szCs w:val="20"/>
          <w:lang w:val="en-US"/>
        </w:rPr>
      </w:pPr>
    </w:p>
    <w:p w14:paraId="35AEF2FB" w14:textId="1C1D5DBF" w:rsidR="00693BB5" w:rsidRPr="007A2115" w:rsidRDefault="00693BB5" w:rsidP="00D611CA">
      <w:pPr>
        <w:pStyle w:val="TableParagraph"/>
        <w:numPr>
          <w:ilvl w:val="0"/>
          <w:numId w:val="11"/>
        </w:numPr>
        <w:spacing w:before="11"/>
        <w:jc w:val="both"/>
        <w:rPr>
          <w:rFonts w:ascii="Arial" w:hAnsi="Arial" w:cs="Arial"/>
          <w:bCs/>
          <w:sz w:val="20"/>
          <w:szCs w:val="20"/>
        </w:rPr>
      </w:pPr>
      <w:r w:rsidRPr="007A2115">
        <w:rPr>
          <w:rFonts w:ascii="Arial" w:hAnsi="Arial" w:cs="Arial"/>
          <w:bCs/>
          <w:sz w:val="20"/>
          <w:szCs w:val="20"/>
        </w:rPr>
        <w:t>Agencia Española de Medicamentos</w:t>
      </w:r>
      <w:r w:rsidR="00440F8B" w:rsidRPr="007A2115">
        <w:rPr>
          <w:rFonts w:ascii="Arial" w:hAnsi="Arial" w:cs="Arial"/>
          <w:bCs/>
          <w:sz w:val="20"/>
          <w:szCs w:val="20"/>
        </w:rPr>
        <w:t xml:space="preserve"> y Productos Sanitarios</w:t>
      </w:r>
      <w:r w:rsidR="00213555" w:rsidRPr="007A2115">
        <w:rPr>
          <w:rFonts w:ascii="Arial" w:hAnsi="Arial" w:cs="Arial"/>
          <w:bCs/>
          <w:sz w:val="20"/>
          <w:szCs w:val="20"/>
        </w:rPr>
        <w:t xml:space="preserve"> AEMPS. Boletin mensual de seguridad de la AEMPS sobre medicamentos de uso humano del mes de mayo del 2021. Recuperado: marzo 22 del 2023. </w:t>
      </w:r>
      <w:hyperlink r:id="rId14" w:history="1">
        <w:r w:rsidR="00213555" w:rsidRPr="007A2115">
          <w:rPr>
            <w:rStyle w:val="Hipervnculo"/>
            <w:rFonts w:ascii="Arial" w:hAnsi="Arial" w:cs="Arial"/>
            <w:bCs/>
            <w:sz w:val="20"/>
            <w:szCs w:val="20"/>
          </w:rPr>
          <w:t>https://www.aemps.gob.es/informa/boletin-mensual-de-seguridad-de-la-aemps-sobre-medicamentos-de-uso-humano-del-mes-de-mayo-de-2021/#</w:t>
        </w:r>
      </w:hyperlink>
    </w:p>
    <w:p w14:paraId="2DA21E90" w14:textId="77777777" w:rsidR="00213555" w:rsidRPr="007A2115" w:rsidRDefault="00213555" w:rsidP="00D611CA">
      <w:pPr>
        <w:pStyle w:val="TableParagraph"/>
        <w:spacing w:before="11"/>
        <w:ind w:left="720"/>
        <w:jc w:val="both"/>
        <w:rPr>
          <w:rFonts w:ascii="Arial" w:hAnsi="Arial" w:cs="Arial"/>
          <w:bCs/>
          <w:sz w:val="20"/>
          <w:szCs w:val="20"/>
        </w:rPr>
      </w:pPr>
    </w:p>
    <w:p w14:paraId="60F22935" w14:textId="1154FE48" w:rsidR="00213555" w:rsidRPr="007A2115" w:rsidRDefault="00213555" w:rsidP="00D611CA">
      <w:pPr>
        <w:pStyle w:val="TableParagraph"/>
        <w:numPr>
          <w:ilvl w:val="0"/>
          <w:numId w:val="11"/>
        </w:numPr>
        <w:spacing w:before="11"/>
        <w:jc w:val="both"/>
        <w:rPr>
          <w:rFonts w:ascii="Arial" w:hAnsi="Arial" w:cs="Arial"/>
          <w:bCs/>
          <w:sz w:val="20"/>
          <w:szCs w:val="20"/>
        </w:rPr>
      </w:pPr>
      <w:r w:rsidRPr="00D97158">
        <w:rPr>
          <w:rFonts w:ascii="Arial" w:hAnsi="Arial" w:cs="Arial"/>
          <w:bCs/>
          <w:sz w:val="20"/>
          <w:szCs w:val="20"/>
          <w:lang w:val="en-US"/>
        </w:rPr>
        <w:t xml:space="preserve">Therapeutic Goods Administration TGA. Clindamycin capsules and injections - acute kidney </w:t>
      </w:r>
      <w:r w:rsidRPr="00D97158">
        <w:rPr>
          <w:rFonts w:ascii="Arial" w:hAnsi="Arial" w:cs="Arial"/>
          <w:bCs/>
          <w:sz w:val="20"/>
          <w:szCs w:val="20"/>
          <w:lang w:val="en-US"/>
        </w:rPr>
        <w:lastRenderedPageBreak/>
        <w:t xml:space="preserve">injury Medicines Safety Update. </w:t>
      </w:r>
      <w:r w:rsidRPr="007A2115">
        <w:rPr>
          <w:rFonts w:ascii="Arial" w:hAnsi="Arial" w:cs="Arial"/>
          <w:bCs/>
          <w:sz w:val="20"/>
          <w:szCs w:val="20"/>
        </w:rPr>
        <w:t>Recuperado: marzo 22 del 2023.</w:t>
      </w:r>
      <w:r w:rsidRPr="007A2115">
        <w:rPr>
          <w:rFonts w:ascii="Arial" w:hAnsi="Arial" w:cs="Arial"/>
          <w:sz w:val="20"/>
          <w:szCs w:val="20"/>
        </w:rPr>
        <w:t xml:space="preserve"> </w:t>
      </w:r>
      <w:hyperlink r:id="rId15" w:history="1">
        <w:r w:rsidRPr="007A2115">
          <w:rPr>
            <w:rStyle w:val="Hipervnculo"/>
            <w:rFonts w:ascii="Arial" w:hAnsi="Arial" w:cs="Arial"/>
            <w:bCs/>
            <w:sz w:val="20"/>
            <w:szCs w:val="20"/>
          </w:rPr>
          <w:t>https://www.tga.gov.au/news/safety-updates/clindamycin-capsules-and-injections-acute-kidney-injury</w:t>
        </w:r>
      </w:hyperlink>
    </w:p>
    <w:p w14:paraId="04ABCB0E" w14:textId="77777777" w:rsidR="00213555" w:rsidRPr="007A2115" w:rsidRDefault="00213555" w:rsidP="00D611CA">
      <w:pPr>
        <w:pStyle w:val="Prrafodelista"/>
        <w:jc w:val="both"/>
        <w:rPr>
          <w:rFonts w:ascii="Arial" w:hAnsi="Arial" w:cs="Arial"/>
          <w:bCs/>
          <w:sz w:val="20"/>
          <w:szCs w:val="20"/>
        </w:rPr>
      </w:pPr>
    </w:p>
    <w:p w14:paraId="242D4B0E" w14:textId="4972288E" w:rsidR="00213555" w:rsidRPr="007A2115" w:rsidRDefault="00213555" w:rsidP="00213555">
      <w:pPr>
        <w:pStyle w:val="TableParagraph"/>
        <w:numPr>
          <w:ilvl w:val="0"/>
          <w:numId w:val="11"/>
        </w:numPr>
        <w:spacing w:before="11"/>
        <w:rPr>
          <w:rFonts w:ascii="Arial" w:hAnsi="Arial" w:cs="Arial"/>
          <w:bCs/>
          <w:sz w:val="20"/>
          <w:szCs w:val="20"/>
        </w:rPr>
      </w:pPr>
      <w:r w:rsidRPr="00D97158">
        <w:rPr>
          <w:rFonts w:ascii="Arial" w:hAnsi="Arial" w:cs="Arial"/>
          <w:sz w:val="20"/>
          <w:szCs w:val="20"/>
          <w:lang w:val="en-US"/>
        </w:rPr>
        <w:t xml:space="preserve">Spížek J, Řezanka </w:t>
      </w:r>
      <w:r w:rsidR="00D611CA" w:rsidRPr="00D97158">
        <w:rPr>
          <w:rFonts w:ascii="Arial" w:hAnsi="Arial" w:cs="Arial"/>
          <w:sz w:val="20"/>
          <w:szCs w:val="20"/>
          <w:lang w:val="en-US"/>
        </w:rPr>
        <w:t xml:space="preserve">T. (2004). Lincomycin, clindamycin and their applications. </w:t>
      </w:r>
      <w:r w:rsidR="00D611CA" w:rsidRPr="007A2115">
        <w:rPr>
          <w:rFonts w:ascii="Arial" w:hAnsi="Arial" w:cs="Arial"/>
          <w:sz w:val="20"/>
          <w:szCs w:val="20"/>
        </w:rPr>
        <w:t>Appl Microbiol Biotechnol (2004) 64: 455–464.</w:t>
      </w:r>
    </w:p>
    <w:p w14:paraId="4F8483EF" w14:textId="77777777" w:rsidR="00D611CA" w:rsidRPr="007A2115" w:rsidRDefault="00D611CA" w:rsidP="000329E1">
      <w:pPr>
        <w:pStyle w:val="Prrafodelista"/>
        <w:jc w:val="both"/>
        <w:rPr>
          <w:rFonts w:ascii="Arial" w:hAnsi="Arial" w:cs="Arial"/>
          <w:bCs/>
          <w:sz w:val="20"/>
          <w:szCs w:val="20"/>
        </w:rPr>
      </w:pPr>
    </w:p>
    <w:p w14:paraId="3B8A9BB7" w14:textId="42889ABA" w:rsidR="00D611CA" w:rsidRPr="007A2115" w:rsidRDefault="00D611CA" w:rsidP="000329E1">
      <w:pPr>
        <w:pStyle w:val="TableParagraph"/>
        <w:numPr>
          <w:ilvl w:val="0"/>
          <w:numId w:val="11"/>
        </w:numPr>
        <w:spacing w:before="11"/>
        <w:jc w:val="both"/>
        <w:rPr>
          <w:rFonts w:ascii="Arial" w:hAnsi="Arial" w:cs="Arial"/>
          <w:sz w:val="20"/>
          <w:szCs w:val="20"/>
        </w:rPr>
      </w:pPr>
      <w:r w:rsidRPr="00D97158">
        <w:rPr>
          <w:rFonts w:ascii="Arial" w:hAnsi="Arial" w:cs="Arial"/>
          <w:sz w:val="20"/>
          <w:szCs w:val="20"/>
          <w:lang w:val="en-US"/>
        </w:rPr>
        <w:t>Spížek J, Řezanka T. (201</w:t>
      </w:r>
      <w:r w:rsidR="000329E1" w:rsidRPr="00D97158">
        <w:rPr>
          <w:rFonts w:ascii="Arial" w:hAnsi="Arial" w:cs="Arial"/>
          <w:sz w:val="20"/>
          <w:szCs w:val="20"/>
          <w:lang w:val="en-US"/>
        </w:rPr>
        <w:t>7</w:t>
      </w:r>
      <w:r w:rsidRPr="00D97158">
        <w:rPr>
          <w:rFonts w:ascii="Arial" w:hAnsi="Arial" w:cs="Arial"/>
          <w:sz w:val="20"/>
          <w:szCs w:val="20"/>
          <w:lang w:val="en-US"/>
        </w:rPr>
        <w:t>). Lincosamides: Chemical Structure, Biosynthesis, Mechanism of Action, Resistance, and Applications.</w:t>
      </w:r>
      <w:r w:rsidR="000329E1" w:rsidRPr="00D97158">
        <w:rPr>
          <w:rFonts w:ascii="Arial" w:hAnsi="Arial" w:cs="Arial"/>
          <w:sz w:val="20"/>
          <w:szCs w:val="20"/>
          <w:lang w:val="en-US"/>
        </w:rPr>
        <w:t xml:space="preserve"> </w:t>
      </w:r>
      <w:r w:rsidR="000329E1" w:rsidRPr="007A2115">
        <w:rPr>
          <w:rFonts w:ascii="Arial" w:hAnsi="Arial" w:cs="Arial"/>
          <w:sz w:val="20"/>
          <w:szCs w:val="20"/>
        </w:rPr>
        <w:t>Biochemical Pharmacology. (133). 20-28</w:t>
      </w:r>
      <w:r w:rsidR="00792889" w:rsidRPr="007A2115">
        <w:rPr>
          <w:rFonts w:ascii="Arial" w:hAnsi="Arial" w:cs="Arial"/>
          <w:sz w:val="20"/>
          <w:szCs w:val="20"/>
        </w:rPr>
        <w:t>.</w:t>
      </w:r>
    </w:p>
    <w:p w14:paraId="025EE0AA" w14:textId="77777777" w:rsidR="00426CF8" w:rsidRPr="007A2115" w:rsidRDefault="00426CF8" w:rsidP="00426CF8">
      <w:pPr>
        <w:pStyle w:val="Prrafodelista"/>
        <w:rPr>
          <w:rFonts w:ascii="Arial" w:hAnsi="Arial" w:cs="Arial"/>
          <w:sz w:val="20"/>
          <w:szCs w:val="20"/>
        </w:rPr>
      </w:pPr>
    </w:p>
    <w:p w14:paraId="63D093DF" w14:textId="00BC278E" w:rsidR="00426CF8" w:rsidRPr="007A2115" w:rsidRDefault="00426CF8" w:rsidP="00426CF8">
      <w:pPr>
        <w:pStyle w:val="Prrafodelista"/>
        <w:numPr>
          <w:ilvl w:val="0"/>
          <w:numId w:val="11"/>
        </w:numPr>
        <w:autoSpaceDE w:val="0"/>
        <w:autoSpaceDN w:val="0"/>
        <w:adjustRightInd w:val="0"/>
        <w:spacing w:after="0" w:line="240" w:lineRule="auto"/>
        <w:jc w:val="both"/>
        <w:rPr>
          <w:rFonts w:ascii="Arial" w:hAnsi="Arial" w:cs="Arial"/>
          <w:sz w:val="20"/>
          <w:szCs w:val="20"/>
        </w:rPr>
      </w:pPr>
      <w:r w:rsidRPr="007A2115">
        <w:rPr>
          <w:rFonts w:ascii="Arial" w:hAnsi="Arial" w:cs="Arial"/>
          <w:sz w:val="20"/>
          <w:szCs w:val="20"/>
        </w:rPr>
        <w:t>GOODMAN y GILMAN, (2018). Las Bases Farmacológicas de la Terapéutica. Ed. McGraw-Hill Interamericana</w:t>
      </w:r>
      <w:r w:rsidR="0000746A" w:rsidRPr="007A2115">
        <w:rPr>
          <w:rFonts w:ascii="Arial" w:hAnsi="Arial" w:cs="Arial"/>
          <w:sz w:val="20"/>
          <w:szCs w:val="20"/>
        </w:rPr>
        <w:t xml:space="preserve">. Clindamicina. </w:t>
      </w:r>
      <w:r w:rsidRPr="007A2115">
        <w:rPr>
          <w:rFonts w:ascii="Arial" w:hAnsi="Arial" w:cs="Arial"/>
          <w:sz w:val="20"/>
          <w:szCs w:val="20"/>
        </w:rPr>
        <w:t>pg 1</w:t>
      </w:r>
      <w:r w:rsidR="004435B7" w:rsidRPr="007A2115">
        <w:rPr>
          <w:rFonts w:ascii="Arial" w:hAnsi="Arial" w:cs="Arial"/>
          <w:sz w:val="20"/>
          <w:szCs w:val="20"/>
        </w:rPr>
        <w:t>188</w:t>
      </w:r>
      <w:r w:rsidR="0000746A" w:rsidRPr="007A2115">
        <w:rPr>
          <w:rFonts w:ascii="Arial" w:hAnsi="Arial" w:cs="Arial"/>
          <w:sz w:val="20"/>
          <w:szCs w:val="20"/>
        </w:rPr>
        <w:t xml:space="preserve"> - 1189</w:t>
      </w:r>
      <w:r w:rsidRPr="007A2115">
        <w:rPr>
          <w:rFonts w:ascii="Arial" w:hAnsi="Arial" w:cs="Arial"/>
          <w:sz w:val="20"/>
          <w:szCs w:val="20"/>
        </w:rPr>
        <w:t>.</w:t>
      </w:r>
    </w:p>
    <w:p w14:paraId="3EE98CC3" w14:textId="77777777" w:rsidR="00D464C6" w:rsidRPr="007A2115" w:rsidRDefault="00D464C6" w:rsidP="00D464C6">
      <w:pPr>
        <w:pStyle w:val="Prrafodelista"/>
        <w:rPr>
          <w:rFonts w:ascii="Arial" w:hAnsi="Arial" w:cs="Arial"/>
          <w:sz w:val="20"/>
          <w:szCs w:val="20"/>
        </w:rPr>
      </w:pPr>
    </w:p>
    <w:p w14:paraId="35C76E91" w14:textId="7A272BBE" w:rsidR="00D464C6" w:rsidRPr="007A2115" w:rsidRDefault="00D464C6" w:rsidP="0091257D">
      <w:pPr>
        <w:pStyle w:val="Prrafodelista"/>
        <w:numPr>
          <w:ilvl w:val="0"/>
          <w:numId w:val="11"/>
        </w:numPr>
        <w:autoSpaceDE w:val="0"/>
        <w:autoSpaceDN w:val="0"/>
        <w:adjustRightInd w:val="0"/>
        <w:spacing w:after="0" w:line="240" w:lineRule="auto"/>
        <w:jc w:val="both"/>
        <w:rPr>
          <w:rFonts w:ascii="Arial" w:hAnsi="Arial" w:cs="Arial"/>
          <w:sz w:val="20"/>
          <w:szCs w:val="20"/>
        </w:rPr>
      </w:pPr>
      <w:r w:rsidRPr="00D97158">
        <w:rPr>
          <w:rStyle w:val="markedcontent"/>
          <w:rFonts w:ascii="Arial" w:hAnsi="Arial" w:cs="Arial"/>
          <w:sz w:val="20"/>
          <w:szCs w:val="20"/>
          <w:lang w:val="en-US"/>
        </w:rPr>
        <w:t xml:space="preserve">Dumic </w:t>
      </w:r>
      <w:r w:rsidR="008E189A" w:rsidRPr="00D97158">
        <w:rPr>
          <w:rStyle w:val="markedcontent"/>
          <w:rFonts w:ascii="Arial" w:hAnsi="Arial" w:cs="Arial"/>
          <w:sz w:val="20"/>
          <w:szCs w:val="20"/>
          <w:lang w:val="en-US"/>
        </w:rPr>
        <w:t>I. (</w:t>
      </w:r>
      <w:r w:rsidR="0091257D" w:rsidRPr="00D97158">
        <w:rPr>
          <w:rStyle w:val="markedcontent"/>
          <w:rFonts w:ascii="Arial" w:hAnsi="Arial" w:cs="Arial"/>
          <w:sz w:val="20"/>
          <w:szCs w:val="20"/>
          <w:lang w:val="en-US"/>
        </w:rPr>
        <w:t>2019). Clindamycin: An Unusual Cause of Acute Kidney Injury.</w:t>
      </w:r>
      <w:r w:rsidR="008E189A" w:rsidRPr="00D97158">
        <w:rPr>
          <w:rFonts w:ascii="Arial" w:hAnsi="Arial" w:cs="Arial"/>
          <w:sz w:val="20"/>
          <w:szCs w:val="20"/>
          <w:lang w:val="en-US"/>
        </w:rPr>
        <w:t xml:space="preserve"> </w:t>
      </w:r>
      <w:r w:rsidR="008E189A" w:rsidRPr="007A2115">
        <w:rPr>
          <w:rStyle w:val="markedcontent"/>
          <w:rFonts w:ascii="Arial" w:hAnsi="Arial" w:cs="Arial"/>
          <w:sz w:val="20"/>
          <w:szCs w:val="20"/>
        </w:rPr>
        <w:t>© Am J Case Rep.</w:t>
      </w:r>
      <w:r w:rsidR="008E189A" w:rsidRPr="007A2115">
        <w:rPr>
          <w:rFonts w:ascii="Arial" w:hAnsi="Arial" w:cs="Arial"/>
          <w:sz w:val="20"/>
          <w:szCs w:val="20"/>
        </w:rPr>
        <w:t xml:space="preserve"> (</w:t>
      </w:r>
      <w:r w:rsidR="008E189A" w:rsidRPr="007A2115">
        <w:rPr>
          <w:rStyle w:val="markedcontent"/>
          <w:rFonts w:ascii="Arial" w:hAnsi="Arial" w:cs="Arial"/>
          <w:sz w:val="20"/>
          <w:szCs w:val="20"/>
        </w:rPr>
        <w:t>20). 248-251</w:t>
      </w:r>
    </w:p>
    <w:p w14:paraId="0DA4B275" w14:textId="77777777" w:rsidR="00426CF8" w:rsidRPr="007A2115" w:rsidRDefault="00426CF8" w:rsidP="00426CF8">
      <w:pPr>
        <w:pStyle w:val="TableParagraph"/>
        <w:spacing w:before="11"/>
        <w:ind w:left="720"/>
        <w:jc w:val="both"/>
        <w:rPr>
          <w:rFonts w:ascii="Arial" w:hAnsi="Arial" w:cs="Arial"/>
          <w:sz w:val="20"/>
          <w:szCs w:val="20"/>
        </w:rPr>
      </w:pPr>
    </w:p>
    <w:p w14:paraId="347B617E" w14:textId="77777777" w:rsidR="004B6B21" w:rsidRPr="007A2115" w:rsidRDefault="004B6B21" w:rsidP="000329E1">
      <w:pPr>
        <w:jc w:val="both"/>
        <w:rPr>
          <w:rFonts w:ascii="Arial" w:hAnsi="Arial" w:cs="Arial"/>
          <w:b/>
          <w:sz w:val="20"/>
          <w:szCs w:val="20"/>
        </w:rPr>
      </w:pPr>
    </w:p>
    <w:p w14:paraId="59D6ED8F" w14:textId="77777777" w:rsidR="00492DF5" w:rsidRPr="00827F7A" w:rsidRDefault="00492DF5" w:rsidP="00492DF5">
      <w:pPr>
        <w:rPr>
          <w:rFonts w:ascii="Arial" w:hAnsi="Arial" w:cs="Arial"/>
          <w:sz w:val="20"/>
          <w:szCs w:val="20"/>
          <w:lang w:val="es-MX"/>
        </w:rPr>
      </w:pPr>
      <w:r w:rsidRPr="00827F7A">
        <w:rPr>
          <w:rFonts w:ascii="Arial" w:hAnsi="Arial" w:cs="Arial"/>
          <w:sz w:val="20"/>
          <w:szCs w:val="20"/>
          <w:lang w:val="es-MX"/>
        </w:rPr>
        <w:t>Cordialmente,</w:t>
      </w:r>
    </w:p>
    <w:p w14:paraId="256473D2" w14:textId="77777777" w:rsidR="00492DF5" w:rsidRDefault="00492DF5" w:rsidP="00492DF5">
      <w:pPr>
        <w:rPr>
          <w:rFonts w:ascii="Arial" w:hAnsi="Arial" w:cs="Arial"/>
          <w:sz w:val="20"/>
          <w:szCs w:val="20"/>
          <w:lang w:val="es-MX"/>
        </w:rPr>
      </w:pPr>
    </w:p>
    <w:p w14:paraId="19BC1635" w14:textId="77777777" w:rsidR="00492DF5" w:rsidRPr="006A6AC9" w:rsidRDefault="00492DF5" w:rsidP="00492DF5">
      <w:pPr>
        <w:rPr>
          <w:rFonts w:ascii="Arial" w:hAnsi="Arial" w:cs="Arial"/>
          <w:sz w:val="20"/>
          <w:szCs w:val="20"/>
          <w:lang w:val="es-MX"/>
        </w:rPr>
      </w:pPr>
    </w:p>
    <w:p w14:paraId="5FACBDB4" w14:textId="77777777" w:rsidR="00492DF5" w:rsidRPr="00827F7A" w:rsidRDefault="00492DF5" w:rsidP="00492DF5">
      <w:pPr>
        <w:spacing w:after="0"/>
        <w:rPr>
          <w:rFonts w:ascii="Arial" w:hAnsi="Arial" w:cs="Arial"/>
          <w:b/>
          <w:bCs/>
          <w:sz w:val="20"/>
          <w:szCs w:val="20"/>
          <w:lang w:val="es-MX"/>
        </w:rPr>
      </w:pPr>
      <w:r w:rsidRPr="00827F7A">
        <w:rPr>
          <w:rFonts w:ascii="Arial" w:hAnsi="Arial" w:cs="Arial"/>
          <w:b/>
          <w:bCs/>
          <w:sz w:val="20"/>
          <w:szCs w:val="20"/>
          <w:lang w:val="es-MX"/>
        </w:rPr>
        <w:t>LUIS GUILLERMO RESTREPO VELEZ</w:t>
      </w:r>
    </w:p>
    <w:p w14:paraId="00F6830D" w14:textId="77777777" w:rsidR="00492DF5" w:rsidRPr="00FC4A10" w:rsidRDefault="00492DF5" w:rsidP="00492DF5">
      <w:pPr>
        <w:pStyle w:val="TableParagraph"/>
        <w:spacing w:before="11"/>
        <w:rPr>
          <w:rFonts w:ascii="Arial" w:hAnsi="Arial" w:cs="Arial"/>
          <w:bCs/>
          <w:sz w:val="20"/>
          <w:szCs w:val="20"/>
        </w:rPr>
      </w:pPr>
      <w:r w:rsidRPr="00FC4A10">
        <w:rPr>
          <w:rFonts w:ascii="Arial" w:hAnsi="Arial" w:cs="Arial"/>
          <w:bCs/>
          <w:sz w:val="20"/>
          <w:szCs w:val="20"/>
        </w:rPr>
        <w:t>Director</w:t>
      </w:r>
      <w:r w:rsidRPr="00FC4A10">
        <w:rPr>
          <w:rFonts w:ascii="Arial" w:hAnsi="Arial" w:cs="Arial"/>
          <w:bCs/>
          <w:spacing w:val="-2"/>
          <w:sz w:val="20"/>
          <w:szCs w:val="20"/>
        </w:rPr>
        <w:t xml:space="preserve"> </w:t>
      </w:r>
      <w:r w:rsidRPr="00FC4A10">
        <w:rPr>
          <w:rFonts w:ascii="Arial" w:hAnsi="Arial" w:cs="Arial"/>
          <w:bCs/>
          <w:sz w:val="20"/>
          <w:szCs w:val="20"/>
        </w:rPr>
        <w:t>Técnico</w:t>
      </w:r>
      <w:r w:rsidRPr="00FC4A10">
        <w:rPr>
          <w:rFonts w:ascii="Arial" w:hAnsi="Arial" w:cs="Arial"/>
          <w:bCs/>
          <w:spacing w:val="-1"/>
          <w:sz w:val="20"/>
          <w:szCs w:val="20"/>
        </w:rPr>
        <w:t xml:space="preserve"> </w:t>
      </w:r>
      <w:r w:rsidRPr="00FC4A10">
        <w:rPr>
          <w:rFonts w:ascii="Arial" w:hAnsi="Arial" w:cs="Arial"/>
          <w:bCs/>
          <w:sz w:val="20"/>
          <w:szCs w:val="20"/>
        </w:rPr>
        <w:t>de</w:t>
      </w:r>
      <w:r w:rsidRPr="00FC4A10">
        <w:rPr>
          <w:rFonts w:ascii="Arial" w:hAnsi="Arial" w:cs="Arial"/>
          <w:bCs/>
          <w:spacing w:val="-1"/>
          <w:sz w:val="20"/>
          <w:szCs w:val="20"/>
        </w:rPr>
        <w:t xml:space="preserve"> </w:t>
      </w:r>
      <w:r w:rsidRPr="00FC4A10">
        <w:rPr>
          <w:rFonts w:ascii="Arial" w:hAnsi="Arial" w:cs="Arial"/>
          <w:bCs/>
          <w:sz w:val="20"/>
          <w:szCs w:val="20"/>
        </w:rPr>
        <w:t>Medicamentos</w:t>
      </w:r>
      <w:r w:rsidRPr="00FC4A10">
        <w:rPr>
          <w:rFonts w:ascii="Arial" w:hAnsi="Arial" w:cs="Arial"/>
          <w:bCs/>
          <w:spacing w:val="-6"/>
          <w:sz w:val="20"/>
          <w:szCs w:val="20"/>
        </w:rPr>
        <w:t xml:space="preserve"> </w:t>
      </w:r>
      <w:r w:rsidRPr="00FC4A10">
        <w:rPr>
          <w:rFonts w:ascii="Arial" w:hAnsi="Arial" w:cs="Arial"/>
          <w:bCs/>
          <w:sz w:val="20"/>
          <w:szCs w:val="20"/>
        </w:rPr>
        <w:t>y</w:t>
      </w:r>
      <w:r w:rsidRPr="00FC4A10">
        <w:rPr>
          <w:rFonts w:ascii="Arial" w:hAnsi="Arial" w:cs="Arial"/>
          <w:bCs/>
          <w:spacing w:val="-5"/>
          <w:sz w:val="20"/>
          <w:szCs w:val="20"/>
        </w:rPr>
        <w:t xml:space="preserve"> </w:t>
      </w:r>
      <w:r w:rsidRPr="00FC4A10">
        <w:rPr>
          <w:rFonts w:ascii="Arial" w:hAnsi="Arial" w:cs="Arial"/>
          <w:bCs/>
          <w:sz w:val="20"/>
          <w:szCs w:val="20"/>
        </w:rPr>
        <w:t>Productos</w:t>
      </w:r>
      <w:r w:rsidRPr="00FC4A10">
        <w:rPr>
          <w:rFonts w:ascii="Arial" w:hAnsi="Arial" w:cs="Arial"/>
          <w:bCs/>
          <w:spacing w:val="-1"/>
          <w:sz w:val="20"/>
          <w:szCs w:val="20"/>
        </w:rPr>
        <w:t xml:space="preserve"> </w:t>
      </w:r>
      <w:r w:rsidRPr="00FC4A10">
        <w:rPr>
          <w:rFonts w:ascii="Arial" w:hAnsi="Arial" w:cs="Arial"/>
          <w:bCs/>
          <w:sz w:val="20"/>
          <w:szCs w:val="20"/>
        </w:rPr>
        <w:t>Biológicos</w:t>
      </w:r>
      <w:r w:rsidRPr="00FC4A10">
        <w:rPr>
          <w:rFonts w:ascii="Arial" w:hAnsi="Arial" w:cs="Arial"/>
          <w:bCs/>
          <w:spacing w:val="-2"/>
          <w:sz w:val="20"/>
          <w:szCs w:val="20"/>
        </w:rPr>
        <w:t xml:space="preserve"> </w:t>
      </w:r>
      <w:r w:rsidRPr="00FC4A10">
        <w:rPr>
          <w:rFonts w:ascii="Arial" w:hAnsi="Arial" w:cs="Arial"/>
          <w:bCs/>
          <w:sz w:val="20"/>
          <w:szCs w:val="20"/>
        </w:rPr>
        <w:t>-</w:t>
      </w:r>
      <w:r w:rsidRPr="00FC4A10">
        <w:rPr>
          <w:rFonts w:ascii="Arial" w:hAnsi="Arial" w:cs="Arial"/>
          <w:bCs/>
          <w:spacing w:val="-1"/>
          <w:sz w:val="20"/>
          <w:szCs w:val="20"/>
        </w:rPr>
        <w:t xml:space="preserve"> </w:t>
      </w:r>
      <w:r w:rsidRPr="00FC4A10">
        <w:rPr>
          <w:rFonts w:ascii="Arial" w:hAnsi="Arial" w:cs="Arial"/>
          <w:bCs/>
          <w:sz w:val="20"/>
          <w:szCs w:val="20"/>
        </w:rPr>
        <w:t>INVIMA</w:t>
      </w:r>
    </w:p>
    <w:p w14:paraId="0C0E4957" w14:textId="77777777" w:rsidR="00492DF5" w:rsidRDefault="00492DF5" w:rsidP="00492DF5">
      <w:pPr>
        <w:spacing w:after="0"/>
        <w:rPr>
          <w:rFonts w:ascii="Arial" w:hAnsi="Arial" w:cs="Arial"/>
          <w:sz w:val="16"/>
          <w:szCs w:val="16"/>
          <w:lang w:val="es-MX"/>
        </w:rPr>
      </w:pPr>
    </w:p>
    <w:p w14:paraId="1B204A41" w14:textId="489DBC4B" w:rsidR="00492DF5" w:rsidRDefault="00492DF5" w:rsidP="00492DF5">
      <w:pPr>
        <w:spacing w:after="0"/>
        <w:rPr>
          <w:rFonts w:ascii="Arial" w:hAnsi="Arial" w:cs="Arial"/>
          <w:sz w:val="16"/>
          <w:szCs w:val="16"/>
          <w:lang w:val="es-MX"/>
        </w:rPr>
      </w:pPr>
    </w:p>
    <w:p w14:paraId="40CD4EB5" w14:textId="77777777" w:rsidR="00492DF5" w:rsidRDefault="00492DF5" w:rsidP="00492DF5">
      <w:pPr>
        <w:spacing w:after="0"/>
        <w:rPr>
          <w:rFonts w:ascii="Arial" w:hAnsi="Arial" w:cs="Arial"/>
          <w:sz w:val="16"/>
          <w:szCs w:val="16"/>
          <w:lang w:val="es-MX"/>
        </w:rPr>
      </w:pPr>
    </w:p>
    <w:p w14:paraId="1F514298" w14:textId="77777777" w:rsidR="00492DF5" w:rsidRDefault="00492DF5" w:rsidP="00492DF5">
      <w:pPr>
        <w:spacing w:after="0"/>
        <w:rPr>
          <w:rFonts w:ascii="Arial" w:hAnsi="Arial" w:cs="Arial"/>
          <w:sz w:val="16"/>
          <w:szCs w:val="16"/>
          <w:lang w:val="es-MX"/>
        </w:rPr>
      </w:pPr>
    </w:p>
    <w:p w14:paraId="0B74924B" w14:textId="77777777" w:rsidR="00492DF5" w:rsidRDefault="00492DF5" w:rsidP="00492DF5">
      <w:pPr>
        <w:spacing w:after="0"/>
        <w:rPr>
          <w:rFonts w:ascii="Arial" w:hAnsi="Arial" w:cs="Arial"/>
          <w:sz w:val="16"/>
          <w:szCs w:val="16"/>
          <w:lang w:val="es-MX"/>
        </w:rPr>
      </w:pPr>
    </w:p>
    <w:p w14:paraId="121D0F41" w14:textId="77777777" w:rsidR="00492DF5" w:rsidRPr="00E67E6C" w:rsidRDefault="00492DF5" w:rsidP="00492DF5">
      <w:pPr>
        <w:spacing w:after="0"/>
        <w:rPr>
          <w:rFonts w:ascii="Arial" w:hAnsi="Arial" w:cs="Arial"/>
          <w:b/>
          <w:bCs/>
          <w:sz w:val="20"/>
          <w:szCs w:val="20"/>
          <w:lang w:val="es-MX"/>
        </w:rPr>
      </w:pPr>
    </w:p>
    <w:p w14:paraId="7FDEF971" w14:textId="77777777" w:rsidR="00492DF5" w:rsidRPr="00E67E6C" w:rsidRDefault="00492DF5" w:rsidP="00492DF5">
      <w:pPr>
        <w:spacing w:after="0"/>
        <w:rPr>
          <w:rFonts w:ascii="Arial" w:hAnsi="Arial" w:cs="Arial"/>
          <w:b/>
          <w:bCs/>
          <w:sz w:val="20"/>
          <w:szCs w:val="20"/>
          <w:lang w:val="es-MX"/>
        </w:rPr>
      </w:pPr>
      <w:r w:rsidRPr="00E67E6C">
        <w:rPr>
          <w:rFonts w:ascii="Arial" w:hAnsi="Arial" w:cs="Arial"/>
          <w:b/>
          <w:bCs/>
          <w:sz w:val="20"/>
          <w:szCs w:val="20"/>
          <w:lang w:val="es-MX"/>
        </w:rPr>
        <w:t>WILLIAM SAZA LONDOÑO</w:t>
      </w:r>
    </w:p>
    <w:p w14:paraId="2814532C" w14:textId="77777777" w:rsidR="00492DF5" w:rsidRPr="00E67E6C" w:rsidRDefault="00492DF5" w:rsidP="00492DF5">
      <w:pPr>
        <w:spacing w:after="0"/>
        <w:rPr>
          <w:rFonts w:ascii="Arial" w:hAnsi="Arial" w:cs="Arial"/>
          <w:sz w:val="20"/>
          <w:szCs w:val="20"/>
        </w:rPr>
      </w:pPr>
      <w:r w:rsidRPr="00E67E6C">
        <w:rPr>
          <w:rFonts w:ascii="Arial" w:hAnsi="Arial" w:cs="Arial"/>
          <w:sz w:val="20"/>
          <w:szCs w:val="20"/>
        </w:rPr>
        <w:t xml:space="preserve">Coordinador Grupo de Farmacovigilancia. </w:t>
      </w:r>
    </w:p>
    <w:p w14:paraId="2EC780D9" w14:textId="77777777" w:rsidR="00492DF5" w:rsidRPr="00E67E6C" w:rsidRDefault="00492DF5" w:rsidP="00492DF5">
      <w:pPr>
        <w:spacing w:after="0"/>
        <w:rPr>
          <w:rFonts w:ascii="Arial" w:hAnsi="Arial" w:cs="Arial"/>
          <w:sz w:val="20"/>
          <w:szCs w:val="20"/>
          <w:lang w:val="es-MX"/>
        </w:rPr>
      </w:pPr>
      <w:r w:rsidRPr="00E67E6C">
        <w:rPr>
          <w:rFonts w:ascii="Arial" w:hAnsi="Arial" w:cs="Arial"/>
          <w:sz w:val="20"/>
          <w:szCs w:val="20"/>
        </w:rPr>
        <w:t>Dirección de Medicamentos y Productos Biológicos – Invima</w:t>
      </w:r>
    </w:p>
    <w:p w14:paraId="36A6D1B6" w14:textId="77777777" w:rsidR="00492DF5" w:rsidRDefault="00492DF5" w:rsidP="00492DF5">
      <w:pPr>
        <w:spacing w:after="0"/>
        <w:rPr>
          <w:rFonts w:ascii="Arial" w:hAnsi="Arial" w:cs="Arial"/>
          <w:sz w:val="16"/>
          <w:szCs w:val="16"/>
          <w:lang w:val="es-MX"/>
        </w:rPr>
      </w:pPr>
    </w:p>
    <w:p w14:paraId="38C7F488" w14:textId="77777777" w:rsidR="00492DF5" w:rsidRDefault="00492DF5" w:rsidP="00492DF5">
      <w:pPr>
        <w:spacing w:after="0"/>
        <w:rPr>
          <w:rFonts w:ascii="Arial" w:hAnsi="Arial" w:cs="Arial"/>
          <w:sz w:val="16"/>
          <w:szCs w:val="16"/>
          <w:lang w:val="es-MX"/>
        </w:rPr>
      </w:pPr>
      <w:r w:rsidRPr="005446FB">
        <w:rPr>
          <w:rFonts w:ascii="Arial" w:hAnsi="Arial" w:cs="Arial"/>
          <w:sz w:val="16"/>
          <w:szCs w:val="16"/>
          <w:lang w:val="es-MX"/>
        </w:rPr>
        <w:t>Proyectó: G. Peñuela.</w:t>
      </w:r>
      <w:r>
        <w:rPr>
          <w:rFonts w:ascii="Arial" w:hAnsi="Arial" w:cs="Arial"/>
          <w:sz w:val="16"/>
          <w:szCs w:val="16"/>
          <w:lang w:val="es-MX"/>
        </w:rPr>
        <w:t xml:space="preserve"> PE-QF</w:t>
      </w:r>
    </w:p>
    <w:p w14:paraId="26597D3C" w14:textId="77777777" w:rsidR="001C63C2" w:rsidRPr="005446FB" w:rsidRDefault="001C63C2" w:rsidP="001C63C2">
      <w:pPr>
        <w:spacing w:after="0"/>
        <w:rPr>
          <w:rFonts w:ascii="Arial" w:hAnsi="Arial" w:cs="Arial"/>
          <w:sz w:val="16"/>
          <w:szCs w:val="16"/>
          <w:lang w:val="es-MX"/>
        </w:rPr>
      </w:pPr>
      <w:r>
        <w:rPr>
          <w:rFonts w:ascii="Arial" w:hAnsi="Arial" w:cs="Arial"/>
          <w:bCs/>
          <w:sz w:val="16"/>
          <w:szCs w:val="16"/>
        </w:rPr>
        <w:t>Revisó: A. Monsalve. A MD Esp.</w:t>
      </w:r>
    </w:p>
    <w:p w14:paraId="47B28307" w14:textId="77777777" w:rsidR="001C63C2" w:rsidRPr="005446FB" w:rsidRDefault="001C63C2" w:rsidP="00492DF5">
      <w:pPr>
        <w:spacing w:after="0"/>
        <w:rPr>
          <w:rFonts w:ascii="Arial" w:hAnsi="Arial" w:cs="Arial"/>
          <w:sz w:val="16"/>
          <w:szCs w:val="16"/>
          <w:lang w:val="es-MX"/>
        </w:rPr>
      </w:pPr>
    </w:p>
    <w:p w14:paraId="69FCCED5" w14:textId="77777777" w:rsidR="00492DF5" w:rsidRPr="00682026" w:rsidRDefault="00492DF5" w:rsidP="00492DF5">
      <w:pPr>
        <w:jc w:val="both"/>
        <w:rPr>
          <w:rFonts w:ascii="Work Sanz" w:hAnsi="Work Sanz" w:cs="Arial"/>
          <w:b/>
          <w:bCs/>
          <w:sz w:val="24"/>
          <w:szCs w:val="24"/>
        </w:rPr>
      </w:pPr>
    </w:p>
    <w:p w14:paraId="0E40CF03" w14:textId="5B55BEE2" w:rsidR="00A5173A" w:rsidRPr="000678D8" w:rsidRDefault="00A5173A" w:rsidP="000678D8"/>
    <w:sectPr w:rsidR="00A5173A" w:rsidRPr="000678D8" w:rsidSect="00596CC2">
      <w:headerReference w:type="default" r:id="rId16"/>
      <w:footerReference w:type="default" r:id="rId17"/>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0F7F" w14:textId="77777777" w:rsidR="002D5153" w:rsidRDefault="002D5153" w:rsidP="003B57C4">
      <w:pPr>
        <w:spacing w:after="0" w:line="240" w:lineRule="auto"/>
      </w:pPr>
      <w:r>
        <w:separator/>
      </w:r>
    </w:p>
  </w:endnote>
  <w:endnote w:type="continuationSeparator" w:id="0">
    <w:p w14:paraId="3B9ADD0C" w14:textId="77777777" w:rsidR="002D5153" w:rsidRDefault="002D5153" w:rsidP="003B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Work Sanz">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83C5" w14:textId="4AC2A7DA" w:rsidR="003B57C4" w:rsidRDefault="003B57C4">
    <w:pPr>
      <w:pStyle w:val="Piedepgina"/>
    </w:pPr>
    <w:r>
      <w:rPr>
        <w:noProof/>
      </w:rPr>
      <w:drawing>
        <wp:anchor distT="0" distB="0" distL="114300" distR="114300" simplePos="0" relativeHeight="251660288" behindDoc="0" locked="0" layoutInCell="1" allowOverlap="1" wp14:anchorId="34FAB3EE" wp14:editId="4AC09BFD">
          <wp:simplePos x="0" y="0"/>
          <wp:positionH relativeFrom="page">
            <wp:posOffset>-110490</wp:posOffset>
          </wp:positionH>
          <wp:positionV relativeFrom="paragraph">
            <wp:posOffset>-434975</wp:posOffset>
          </wp:positionV>
          <wp:extent cx="7780655" cy="1127746"/>
          <wp:effectExtent l="0" t="0" r="0" b="0"/>
          <wp:wrapNone/>
          <wp:docPr id="3" name="Picture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80655" cy="112774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5196" w14:textId="77777777" w:rsidR="002D5153" w:rsidRDefault="002D5153" w:rsidP="003B57C4">
      <w:pPr>
        <w:spacing w:after="0" w:line="240" w:lineRule="auto"/>
      </w:pPr>
      <w:r>
        <w:separator/>
      </w:r>
    </w:p>
  </w:footnote>
  <w:footnote w:type="continuationSeparator" w:id="0">
    <w:p w14:paraId="2D303CA0" w14:textId="77777777" w:rsidR="002D5153" w:rsidRDefault="002D5153" w:rsidP="003B5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45C1" w14:textId="100C8122" w:rsidR="003B57C4" w:rsidRDefault="003B57C4">
    <w:pPr>
      <w:pStyle w:val="Encabezado"/>
    </w:pPr>
    <w:r>
      <w:rPr>
        <w:noProof/>
        <w:lang w:eastAsia="es-CO"/>
      </w:rPr>
      <w:drawing>
        <wp:anchor distT="0" distB="0" distL="114300" distR="114300" simplePos="0" relativeHeight="251659264" behindDoc="0" locked="0" layoutInCell="1" allowOverlap="1" wp14:anchorId="01AF546D" wp14:editId="15941AFA">
          <wp:simplePos x="0" y="0"/>
          <wp:positionH relativeFrom="page">
            <wp:posOffset>2540</wp:posOffset>
          </wp:positionH>
          <wp:positionV relativeFrom="paragraph">
            <wp:posOffset>-448310</wp:posOffset>
          </wp:positionV>
          <wp:extent cx="7672070" cy="1390660"/>
          <wp:effectExtent l="0" t="0" r="5080" b="0"/>
          <wp:wrapNone/>
          <wp:docPr id="1" name="Picture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672070" cy="1390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66C"/>
    <w:multiLevelType w:val="hybridMultilevel"/>
    <w:tmpl w:val="743A40E6"/>
    <w:lvl w:ilvl="0" w:tplc="EC54D330">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6C3C23"/>
    <w:multiLevelType w:val="hybridMultilevel"/>
    <w:tmpl w:val="68AC27C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ED7DDE"/>
    <w:multiLevelType w:val="hybridMultilevel"/>
    <w:tmpl w:val="4726F616"/>
    <w:lvl w:ilvl="0" w:tplc="49721E4A">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1A6A5C"/>
    <w:multiLevelType w:val="hybridMultilevel"/>
    <w:tmpl w:val="179E61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2051D5"/>
    <w:multiLevelType w:val="hybridMultilevel"/>
    <w:tmpl w:val="2DDE198A"/>
    <w:lvl w:ilvl="0" w:tplc="64048CBA">
      <w:start w:val="1"/>
      <w:numFmt w:val="bullet"/>
      <w:lvlText w:val="-"/>
      <w:lvlJc w:val="left"/>
      <w:pPr>
        <w:ind w:left="375" w:hanging="360"/>
      </w:pPr>
      <w:rPr>
        <w:rFonts w:ascii="Arial" w:eastAsia="Times New Roman" w:hAnsi="Arial" w:cs="Arial" w:hint="default"/>
      </w:rPr>
    </w:lvl>
    <w:lvl w:ilvl="1" w:tplc="240A0003" w:tentative="1">
      <w:start w:val="1"/>
      <w:numFmt w:val="bullet"/>
      <w:lvlText w:val="o"/>
      <w:lvlJc w:val="left"/>
      <w:pPr>
        <w:ind w:left="1095" w:hanging="360"/>
      </w:pPr>
      <w:rPr>
        <w:rFonts w:ascii="Courier New" w:hAnsi="Courier New" w:cs="Courier New" w:hint="default"/>
      </w:rPr>
    </w:lvl>
    <w:lvl w:ilvl="2" w:tplc="240A0005" w:tentative="1">
      <w:start w:val="1"/>
      <w:numFmt w:val="bullet"/>
      <w:lvlText w:val=""/>
      <w:lvlJc w:val="left"/>
      <w:pPr>
        <w:ind w:left="1815" w:hanging="360"/>
      </w:pPr>
      <w:rPr>
        <w:rFonts w:ascii="Wingdings" w:hAnsi="Wingdings" w:hint="default"/>
      </w:rPr>
    </w:lvl>
    <w:lvl w:ilvl="3" w:tplc="240A0001" w:tentative="1">
      <w:start w:val="1"/>
      <w:numFmt w:val="bullet"/>
      <w:lvlText w:val=""/>
      <w:lvlJc w:val="left"/>
      <w:pPr>
        <w:ind w:left="2535" w:hanging="360"/>
      </w:pPr>
      <w:rPr>
        <w:rFonts w:ascii="Symbol" w:hAnsi="Symbol" w:hint="default"/>
      </w:rPr>
    </w:lvl>
    <w:lvl w:ilvl="4" w:tplc="240A0003" w:tentative="1">
      <w:start w:val="1"/>
      <w:numFmt w:val="bullet"/>
      <w:lvlText w:val="o"/>
      <w:lvlJc w:val="left"/>
      <w:pPr>
        <w:ind w:left="3255" w:hanging="360"/>
      </w:pPr>
      <w:rPr>
        <w:rFonts w:ascii="Courier New" w:hAnsi="Courier New" w:cs="Courier New" w:hint="default"/>
      </w:rPr>
    </w:lvl>
    <w:lvl w:ilvl="5" w:tplc="240A0005" w:tentative="1">
      <w:start w:val="1"/>
      <w:numFmt w:val="bullet"/>
      <w:lvlText w:val=""/>
      <w:lvlJc w:val="left"/>
      <w:pPr>
        <w:ind w:left="3975" w:hanging="360"/>
      </w:pPr>
      <w:rPr>
        <w:rFonts w:ascii="Wingdings" w:hAnsi="Wingdings" w:hint="default"/>
      </w:rPr>
    </w:lvl>
    <w:lvl w:ilvl="6" w:tplc="240A0001" w:tentative="1">
      <w:start w:val="1"/>
      <w:numFmt w:val="bullet"/>
      <w:lvlText w:val=""/>
      <w:lvlJc w:val="left"/>
      <w:pPr>
        <w:ind w:left="4695" w:hanging="360"/>
      </w:pPr>
      <w:rPr>
        <w:rFonts w:ascii="Symbol" w:hAnsi="Symbol" w:hint="default"/>
      </w:rPr>
    </w:lvl>
    <w:lvl w:ilvl="7" w:tplc="240A0003" w:tentative="1">
      <w:start w:val="1"/>
      <w:numFmt w:val="bullet"/>
      <w:lvlText w:val="o"/>
      <w:lvlJc w:val="left"/>
      <w:pPr>
        <w:ind w:left="5415" w:hanging="360"/>
      </w:pPr>
      <w:rPr>
        <w:rFonts w:ascii="Courier New" w:hAnsi="Courier New" w:cs="Courier New" w:hint="default"/>
      </w:rPr>
    </w:lvl>
    <w:lvl w:ilvl="8" w:tplc="240A0005" w:tentative="1">
      <w:start w:val="1"/>
      <w:numFmt w:val="bullet"/>
      <w:lvlText w:val=""/>
      <w:lvlJc w:val="left"/>
      <w:pPr>
        <w:ind w:left="6135" w:hanging="360"/>
      </w:pPr>
      <w:rPr>
        <w:rFonts w:ascii="Wingdings" w:hAnsi="Wingdings" w:hint="default"/>
      </w:rPr>
    </w:lvl>
  </w:abstractNum>
  <w:abstractNum w:abstractNumId="5" w15:restartNumberingAfterBreak="0">
    <w:nsid w:val="320778C7"/>
    <w:multiLevelType w:val="hybridMultilevel"/>
    <w:tmpl w:val="54C0CDFC"/>
    <w:lvl w:ilvl="0" w:tplc="B4BE7886">
      <w:start w:val="1"/>
      <w:numFmt w:val="decimal"/>
      <w:lvlText w:val="%1."/>
      <w:lvlJc w:val="left"/>
      <w:pPr>
        <w:ind w:left="1080" w:hanging="360"/>
      </w:pPr>
      <w:rPr>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41437A2A"/>
    <w:multiLevelType w:val="hybridMultilevel"/>
    <w:tmpl w:val="0358B0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5A194047"/>
    <w:multiLevelType w:val="hybridMultilevel"/>
    <w:tmpl w:val="CE88AF2E"/>
    <w:lvl w:ilvl="0" w:tplc="D2C69314">
      <w:start w:val="1"/>
      <w:numFmt w:val="bullet"/>
      <w:lvlText w:val=""/>
      <w:lvlJc w:val="left"/>
      <w:pPr>
        <w:ind w:left="720" w:hanging="360"/>
      </w:pPr>
      <w:rPr>
        <w:rFonts w:ascii="Symbol" w:eastAsiaTheme="minorHAnsi" w:hAnsi="Symbol"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A1D448E"/>
    <w:multiLevelType w:val="hybridMultilevel"/>
    <w:tmpl w:val="0D445CAA"/>
    <w:lvl w:ilvl="0" w:tplc="ACB87C00">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A3B5A0B"/>
    <w:multiLevelType w:val="hybridMultilevel"/>
    <w:tmpl w:val="09B016BE"/>
    <w:lvl w:ilvl="0" w:tplc="85ACBEB8">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B8C4B9C"/>
    <w:multiLevelType w:val="hybridMultilevel"/>
    <w:tmpl w:val="3F06245A"/>
    <w:lvl w:ilvl="0" w:tplc="A1689F1A">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B987518"/>
    <w:multiLevelType w:val="hybridMultilevel"/>
    <w:tmpl w:val="8138E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E55AA"/>
    <w:multiLevelType w:val="hybridMultilevel"/>
    <w:tmpl w:val="665EAE88"/>
    <w:lvl w:ilvl="0" w:tplc="8B5CBD30">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43270236">
    <w:abstractNumId w:val="6"/>
  </w:num>
  <w:num w:numId="2" w16cid:durableId="289557391">
    <w:abstractNumId w:val="9"/>
  </w:num>
  <w:num w:numId="3" w16cid:durableId="1069887960">
    <w:abstractNumId w:val="7"/>
  </w:num>
  <w:num w:numId="4" w16cid:durableId="697702775">
    <w:abstractNumId w:val="10"/>
  </w:num>
  <w:num w:numId="5" w16cid:durableId="1205632185">
    <w:abstractNumId w:val="8"/>
  </w:num>
  <w:num w:numId="6" w16cid:durableId="714083206">
    <w:abstractNumId w:val="2"/>
  </w:num>
  <w:num w:numId="7" w16cid:durableId="172453175">
    <w:abstractNumId w:val="4"/>
  </w:num>
  <w:num w:numId="8" w16cid:durableId="823163619">
    <w:abstractNumId w:val="11"/>
  </w:num>
  <w:num w:numId="9" w16cid:durableId="809250682">
    <w:abstractNumId w:val="1"/>
  </w:num>
  <w:num w:numId="10" w16cid:durableId="1525165778">
    <w:abstractNumId w:val="0"/>
  </w:num>
  <w:num w:numId="11" w16cid:durableId="2099936063">
    <w:abstractNumId w:val="3"/>
  </w:num>
  <w:num w:numId="12" w16cid:durableId="1950771653">
    <w:abstractNumId w:val="5"/>
  </w:num>
  <w:num w:numId="13" w16cid:durableId="1675573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C4"/>
    <w:rsid w:val="00004C0F"/>
    <w:rsid w:val="00005965"/>
    <w:rsid w:val="0000624D"/>
    <w:rsid w:val="00006B52"/>
    <w:rsid w:val="0000746A"/>
    <w:rsid w:val="000078BB"/>
    <w:rsid w:val="00012324"/>
    <w:rsid w:val="000155F8"/>
    <w:rsid w:val="00020764"/>
    <w:rsid w:val="000265B1"/>
    <w:rsid w:val="00026D6F"/>
    <w:rsid w:val="00030AB6"/>
    <w:rsid w:val="000329E1"/>
    <w:rsid w:val="0003389B"/>
    <w:rsid w:val="000354AA"/>
    <w:rsid w:val="00035EC4"/>
    <w:rsid w:val="0003711A"/>
    <w:rsid w:val="00041645"/>
    <w:rsid w:val="0005716F"/>
    <w:rsid w:val="000606D6"/>
    <w:rsid w:val="0006219F"/>
    <w:rsid w:val="00062A16"/>
    <w:rsid w:val="0006400C"/>
    <w:rsid w:val="00064F7D"/>
    <w:rsid w:val="000671C4"/>
    <w:rsid w:val="000676AF"/>
    <w:rsid w:val="000678D8"/>
    <w:rsid w:val="00077BF1"/>
    <w:rsid w:val="000860FC"/>
    <w:rsid w:val="00086FA2"/>
    <w:rsid w:val="000913AC"/>
    <w:rsid w:val="00092100"/>
    <w:rsid w:val="000943E2"/>
    <w:rsid w:val="000956B6"/>
    <w:rsid w:val="00097F5A"/>
    <w:rsid w:val="000A0469"/>
    <w:rsid w:val="000B019B"/>
    <w:rsid w:val="000B3E5B"/>
    <w:rsid w:val="000C52D1"/>
    <w:rsid w:val="000D0E7C"/>
    <w:rsid w:val="000D6C3C"/>
    <w:rsid w:val="000E768F"/>
    <w:rsid w:val="000E77CC"/>
    <w:rsid w:val="000F184F"/>
    <w:rsid w:val="000F4BD0"/>
    <w:rsid w:val="000F6185"/>
    <w:rsid w:val="00100ABD"/>
    <w:rsid w:val="001030DB"/>
    <w:rsid w:val="0010753F"/>
    <w:rsid w:val="00111FB7"/>
    <w:rsid w:val="001125B9"/>
    <w:rsid w:val="00115DFE"/>
    <w:rsid w:val="0011727C"/>
    <w:rsid w:val="00126A89"/>
    <w:rsid w:val="00130140"/>
    <w:rsid w:val="00136D5A"/>
    <w:rsid w:val="00152E0D"/>
    <w:rsid w:val="001559E8"/>
    <w:rsid w:val="00163C1C"/>
    <w:rsid w:val="0017061B"/>
    <w:rsid w:val="0018342E"/>
    <w:rsid w:val="0018561E"/>
    <w:rsid w:val="0018685E"/>
    <w:rsid w:val="001879CD"/>
    <w:rsid w:val="00190589"/>
    <w:rsid w:val="001914C0"/>
    <w:rsid w:val="001956F1"/>
    <w:rsid w:val="001B6193"/>
    <w:rsid w:val="001C0685"/>
    <w:rsid w:val="001C19B6"/>
    <w:rsid w:val="001C2ABE"/>
    <w:rsid w:val="001C4177"/>
    <w:rsid w:val="001C5EDA"/>
    <w:rsid w:val="001C63C2"/>
    <w:rsid w:val="001C7E77"/>
    <w:rsid w:val="001D23EB"/>
    <w:rsid w:val="001D54A9"/>
    <w:rsid w:val="001F0E1C"/>
    <w:rsid w:val="001F4BC7"/>
    <w:rsid w:val="00204F6B"/>
    <w:rsid w:val="00206E1B"/>
    <w:rsid w:val="002072E2"/>
    <w:rsid w:val="00213555"/>
    <w:rsid w:val="002210D7"/>
    <w:rsid w:val="0022246D"/>
    <w:rsid w:val="0022353D"/>
    <w:rsid w:val="002304DF"/>
    <w:rsid w:val="00230E6D"/>
    <w:rsid w:val="00230ED9"/>
    <w:rsid w:val="002351C2"/>
    <w:rsid w:val="002425C5"/>
    <w:rsid w:val="00245E03"/>
    <w:rsid w:val="002511B5"/>
    <w:rsid w:val="00257780"/>
    <w:rsid w:val="00271008"/>
    <w:rsid w:val="002753DA"/>
    <w:rsid w:val="00286444"/>
    <w:rsid w:val="00293DB9"/>
    <w:rsid w:val="00297C8F"/>
    <w:rsid w:val="002A27AC"/>
    <w:rsid w:val="002B3E56"/>
    <w:rsid w:val="002C23E3"/>
    <w:rsid w:val="002D5153"/>
    <w:rsid w:val="002E0EED"/>
    <w:rsid w:val="002E1716"/>
    <w:rsid w:val="002E1B90"/>
    <w:rsid w:val="002F1FD6"/>
    <w:rsid w:val="002F2247"/>
    <w:rsid w:val="002F3E02"/>
    <w:rsid w:val="002F43E5"/>
    <w:rsid w:val="00305DB0"/>
    <w:rsid w:val="003118A3"/>
    <w:rsid w:val="00321216"/>
    <w:rsid w:val="0032652E"/>
    <w:rsid w:val="00335719"/>
    <w:rsid w:val="003414F1"/>
    <w:rsid w:val="0034209C"/>
    <w:rsid w:val="00345243"/>
    <w:rsid w:val="00345C8F"/>
    <w:rsid w:val="0036073C"/>
    <w:rsid w:val="003637A8"/>
    <w:rsid w:val="00366B1D"/>
    <w:rsid w:val="00374C9D"/>
    <w:rsid w:val="00375B37"/>
    <w:rsid w:val="00380B3F"/>
    <w:rsid w:val="00384193"/>
    <w:rsid w:val="00386F4D"/>
    <w:rsid w:val="00387F86"/>
    <w:rsid w:val="003945B3"/>
    <w:rsid w:val="003975B5"/>
    <w:rsid w:val="003A4505"/>
    <w:rsid w:val="003A516A"/>
    <w:rsid w:val="003A5770"/>
    <w:rsid w:val="003A64EC"/>
    <w:rsid w:val="003A7859"/>
    <w:rsid w:val="003B5180"/>
    <w:rsid w:val="003B57C4"/>
    <w:rsid w:val="003C7FBE"/>
    <w:rsid w:val="003D170B"/>
    <w:rsid w:val="003D5799"/>
    <w:rsid w:val="00406A33"/>
    <w:rsid w:val="00407FD1"/>
    <w:rsid w:val="00413E51"/>
    <w:rsid w:val="0041476E"/>
    <w:rsid w:val="0041770F"/>
    <w:rsid w:val="004242E0"/>
    <w:rsid w:val="00424F59"/>
    <w:rsid w:val="00426ADD"/>
    <w:rsid w:val="00426CF8"/>
    <w:rsid w:val="00440F8B"/>
    <w:rsid w:val="004435B7"/>
    <w:rsid w:val="00446B2A"/>
    <w:rsid w:val="004546EB"/>
    <w:rsid w:val="00460348"/>
    <w:rsid w:val="0046186A"/>
    <w:rsid w:val="00462B9E"/>
    <w:rsid w:val="00466118"/>
    <w:rsid w:val="00473209"/>
    <w:rsid w:val="004768CC"/>
    <w:rsid w:val="00492DF5"/>
    <w:rsid w:val="004952C3"/>
    <w:rsid w:val="004B68C4"/>
    <w:rsid w:val="004B6B21"/>
    <w:rsid w:val="004B71BD"/>
    <w:rsid w:val="004C3A31"/>
    <w:rsid w:val="004C6219"/>
    <w:rsid w:val="004C6C6D"/>
    <w:rsid w:val="004D342D"/>
    <w:rsid w:val="004E458B"/>
    <w:rsid w:val="004E4D88"/>
    <w:rsid w:val="004E5DBA"/>
    <w:rsid w:val="004F32AC"/>
    <w:rsid w:val="00504604"/>
    <w:rsid w:val="0050781E"/>
    <w:rsid w:val="0051322F"/>
    <w:rsid w:val="00513F81"/>
    <w:rsid w:val="00516E87"/>
    <w:rsid w:val="00517032"/>
    <w:rsid w:val="005204EA"/>
    <w:rsid w:val="00530067"/>
    <w:rsid w:val="00540BA3"/>
    <w:rsid w:val="005425D0"/>
    <w:rsid w:val="00544013"/>
    <w:rsid w:val="00545453"/>
    <w:rsid w:val="00551CEA"/>
    <w:rsid w:val="00553F84"/>
    <w:rsid w:val="00571290"/>
    <w:rsid w:val="00573034"/>
    <w:rsid w:val="00581864"/>
    <w:rsid w:val="005819E6"/>
    <w:rsid w:val="0058494C"/>
    <w:rsid w:val="00596CC2"/>
    <w:rsid w:val="005A2D5F"/>
    <w:rsid w:val="005A2DD7"/>
    <w:rsid w:val="005B3EE5"/>
    <w:rsid w:val="005B49E7"/>
    <w:rsid w:val="005C1DD1"/>
    <w:rsid w:val="005C4D1D"/>
    <w:rsid w:val="005C788D"/>
    <w:rsid w:val="005D34A4"/>
    <w:rsid w:val="005D702F"/>
    <w:rsid w:val="005F492C"/>
    <w:rsid w:val="006052B6"/>
    <w:rsid w:val="006057D2"/>
    <w:rsid w:val="00622286"/>
    <w:rsid w:val="0062383E"/>
    <w:rsid w:val="00624F48"/>
    <w:rsid w:val="00624FD2"/>
    <w:rsid w:val="00627BA8"/>
    <w:rsid w:val="00632185"/>
    <w:rsid w:val="006377C6"/>
    <w:rsid w:val="00652299"/>
    <w:rsid w:val="00670FBB"/>
    <w:rsid w:val="00673634"/>
    <w:rsid w:val="00677CE4"/>
    <w:rsid w:val="00682026"/>
    <w:rsid w:val="00693BB5"/>
    <w:rsid w:val="006A13C1"/>
    <w:rsid w:val="006A1A4A"/>
    <w:rsid w:val="006A2E52"/>
    <w:rsid w:val="006B416F"/>
    <w:rsid w:val="006B66C0"/>
    <w:rsid w:val="006B68CC"/>
    <w:rsid w:val="006B7436"/>
    <w:rsid w:val="006B76E9"/>
    <w:rsid w:val="006C0666"/>
    <w:rsid w:val="006D71FF"/>
    <w:rsid w:val="006E2E57"/>
    <w:rsid w:val="006E509D"/>
    <w:rsid w:val="006E524C"/>
    <w:rsid w:val="006F08C8"/>
    <w:rsid w:val="006F09B1"/>
    <w:rsid w:val="00705790"/>
    <w:rsid w:val="00707CF2"/>
    <w:rsid w:val="00724FE9"/>
    <w:rsid w:val="0072622F"/>
    <w:rsid w:val="007337CE"/>
    <w:rsid w:val="00737D80"/>
    <w:rsid w:val="00740A42"/>
    <w:rsid w:val="00744D25"/>
    <w:rsid w:val="0075092C"/>
    <w:rsid w:val="0075319D"/>
    <w:rsid w:val="0075473D"/>
    <w:rsid w:val="007639BC"/>
    <w:rsid w:val="00765767"/>
    <w:rsid w:val="0076646F"/>
    <w:rsid w:val="0077428D"/>
    <w:rsid w:val="0077532B"/>
    <w:rsid w:val="00775AF5"/>
    <w:rsid w:val="0078174A"/>
    <w:rsid w:val="00787BEB"/>
    <w:rsid w:val="00792889"/>
    <w:rsid w:val="007A2115"/>
    <w:rsid w:val="007A6319"/>
    <w:rsid w:val="007A7F4B"/>
    <w:rsid w:val="007B4B3E"/>
    <w:rsid w:val="007C07D3"/>
    <w:rsid w:val="007C2C65"/>
    <w:rsid w:val="007C393D"/>
    <w:rsid w:val="007C3F6E"/>
    <w:rsid w:val="007C74A5"/>
    <w:rsid w:val="007D3669"/>
    <w:rsid w:val="007D3FDA"/>
    <w:rsid w:val="007D521E"/>
    <w:rsid w:val="007D53A3"/>
    <w:rsid w:val="007E478A"/>
    <w:rsid w:val="007E7214"/>
    <w:rsid w:val="007F4536"/>
    <w:rsid w:val="007F7D80"/>
    <w:rsid w:val="00802E96"/>
    <w:rsid w:val="00803B82"/>
    <w:rsid w:val="00810E02"/>
    <w:rsid w:val="008117BF"/>
    <w:rsid w:val="0082712F"/>
    <w:rsid w:val="008327E8"/>
    <w:rsid w:val="008368CC"/>
    <w:rsid w:val="00841895"/>
    <w:rsid w:val="00845C79"/>
    <w:rsid w:val="008466C1"/>
    <w:rsid w:val="00856AAB"/>
    <w:rsid w:val="00860B4A"/>
    <w:rsid w:val="0086279C"/>
    <w:rsid w:val="00862E6D"/>
    <w:rsid w:val="00862EDE"/>
    <w:rsid w:val="00866BA0"/>
    <w:rsid w:val="00876FD1"/>
    <w:rsid w:val="00880FB7"/>
    <w:rsid w:val="00882AD8"/>
    <w:rsid w:val="008862D7"/>
    <w:rsid w:val="008868FD"/>
    <w:rsid w:val="0089266A"/>
    <w:rsid w:val="008A21CF"/>
    <w:rsid w:val="008A41FF"/>
    <w:rsid w:val="008C5A51"/>
    <w:rsid w:val="008C73BB"/>
    <w:rsid w:val="008D4133"/>
    <w:rsid w:val="008E189A"/>
    <w:rsid w:val="008E2DC1"/>
    <w:rsid w:val="008E3ECB"/>
    <w:rsid w:val="008F5166"/>
    <w:rsid w:val="008F6CCB"/>
    <w:rsid w:val="00901553"/>
    <w:rsid w:val="009100F0"/>
    <w:rsid w:val="00911914"/>
    <w:rsid w:val="0091257D"/>
    <w:rsid w:val="00912CF6"/>
    <w:rsid w:val="00921073"/>
    <w:rsid w:val="00931E54"/>
    <w:rsid w:val="00933FCD"/>
    <w:rsid w:val="00936035"/>
    <w:rsid w:val="00936CBE"/>
    <w:rsid w:val="00937B70"/>
    <w:rsid w:val="009428D1"/>
    <w:rsid w:val="00944473"/>
    <w:rsid w:val="00955EC8"/>
    <w:rsid w:val="00956B8A"/>
    <w:rsid w:val="00957003"/>
    <w:rsid w:val="00960472"/>
    <w:rsid w:val="009614A8"/>
    <w:rsid w:val="009620EB"/>
    <w:rsid w:val="00963FE8"/>
    <w:rsid w:val="009940BF"/>
    <w:rsid w:val="00994BD8"/>
    <w:rsid w:val="009A43B7"/>
    <w:rsid w:val="009A6E43"/>
    <w:rsid w:val="009B0685"/>
    <w:rsid w:val="009B10E5"/>
    <w:rsid w:val="009B1251"/>
    <w:rsid w:val="009B410C"/>
    <w:rsid w:val="009D52FC"/>
    <w:rsid w:val="009E32A0"/>
    <w:rsid w:val="009E3F8A"/>
    <w:rsid w:val="009E580B"/>
    <w:rsid w:val="009E70F8"/>
    <w:rsid w:val="009F7311"/>
    <w:rsid w:val="00A076BB"/>
    <w:rsid w:val="00A239FA"/>
    <w:rsid w:val="00A27458"/>
    <w:rsid w:val="00A4118C"/>
    <w:rsid w:val="00A43AB7"/>
    <w:rsid w:val="00A4439F"/>
    <w:rsid w:val="00A45143"/>
    <w:rsid w:val="00A45A5D"/>
    <w:rsid w:val="00A47640"/>
    <w:rsid w:val="00A50832"/>
    <w:rsid w:val="00A5173A"/>
    <w:rsid w:val="00A51BAA"/>
    <w:rsid w:val="00A53F81"/>
    <w:rsid w:val="00A608E3"/>
    <w:rsid w:val="00A920F2"/>
    <w:rsid w:val="00A96D56"/>
    <w:rsid w:val="00AA7E7E"/>
    <w:rsid w:val="00AB1F00"/>
    <w:rsid w:val="00AB3974"/>
    <w:rsid w:val="00AC503F"/>
    <w:rsid w:val="00AC5F21"/>
    <w:rsid w:val="00AC6F60"/>
    <w:rsid w:val="00AC6FDC"/>
    <w:rsid w:val="00AD1519"/>
    <w:rsid w:val="00AD1FA8"/>
    <w:rsid w:val="00AD201D"/>
    <w:rsid w:val="00AD4703"/>
    <w:rsid w:val="00AD66B0"/>
    <w:rsid w:val="00AF2FCC"/>
    <w:rsid w:val="00AF6A4C"/>
    <w:rsid w:val="00B036E1"/>
    <w:rsid w:val="00B10D02"/>
    <w:rsid w:val="00B306D2"/>
    <w:rsid w:val="00B31B67"/>
    <w:rsid w:val="00B33543"/>
    <w:rsid w:val="00B41CD1"/>
    <w:rsid w:val="00B4393D"/>
    <w:rsid w:val="00B459F3"/>
    <w:rsid w:val="00B4621E"/>
    <w:rsid w:val="00B53A2B"/>
    <w:rsid w:val="00B5491F"/>
    <w:rsid w:val="00B57646"/>
    <w:rsid w:val="00B6798F"/>
    <w:rsid w:val="00B815D0"/>
    <w:rsid w:val="00B93CE2"/>
    <w:rsid w:val="00BB048F"/>
    <w:rsid w:val="00BB3A03"/>
    <w:rsid w:val="00BB5682"/>
    <w:rsid w:val="00BC037E"/>
    <w:rsid w:val="00BC26FC"/>
    <w:rsid w:val="00BD0DDA"/>
    <w:rsid w:val="00BD10D9"/>
    <w:rsid w:val="00BE10F3"/>
    <w:rsid w:val="00BE13FF"/>
    <w:rsid w:val="00BE4F9A"/>
    <w:rsid w:val="00BF0750"/>
    <w:rsid w:val="00BF572D"/>
    <w:rsid w:val="00C0065A"/>
    <w:rsid w:val="00C0144C"/>
    <w:rsid w:val="00C052EC"/>
    <w:rsid w:val="00C06039"/>
    <w:rsid w:val="00C0738D"/>
    <w:rsid w:val="00C14635"/>
    <w:rsid w:val="00C15E8B"/>
    <w:rsid w:val="00C249D4"/>
    <w:rsid w:val="00C275C8"/>
    <w:rsid w:val="00C339A4"/>
    <w:rsid w:val="00C3796D"/>
    <w:rsid w:val="00C41134"/>
    <w:rsid w:val="00C44B9C"/>
    <w:rsid w:val="00C521C3"/>
    <w:rsid w:val="00C60A4E"/>
    <w:rsid w:val="00C7124D"/>
    <w:rsid w:val="00C75AF7"/>
    <w:rsid w:val="00C82747"/>
    <w:rsid w:val="00C8362E"/>
    <w:rsid w:val="00C8782B"/>
    <w:rsid w:val="00C90B75"/>
    <w:rsid w:val="00CA341A"/>
    <w:rsid w:val="00CA7A3E"/>
    <w:rsid w:val="00CB0871"/>
    <w:rsid w:val="00CC191D"/>
    <w:rsid w:val="00CC7775"/>
    <w:rsid w:val="00CD5F9C"/>
    <w:rsid w:val="00CF7C35"/>
    <w:rsid w:val="00D056AE"/>
    <w:rsid w:val="00D07C59"/>
    <w:rsid w:val="00D121EF"/>
    <w:rsid w:val="00D20625"/>
    <w:rsid w:val="00D20BA8"/>
    <w:rsid w:val="00D2448E"/>
    <w:rsid w:val="00D31B08"/>
    <w:rsid w:val="00D4339D"/>
    <w:rsid w:val="00D464C6"/>
    <w:rsid w:val="00D471D1"/>
    <w:rsid w:val="00D506B3"/>
    <w:rsid w:val="00D563CA"/>
    <w:rsid w:val="00D56614"/>
    <w:rsid w:val="00D611CA"/>
    <w:rsid w:val="00D6311F"/>
    <w:rsid w:val="00D63251"/>
    <w:rsid w:val="00D647BD"/>
    <w:rsid w:val="00D726EE"/>
    <w:rsid w:val="00D76773"/>
    <w:rsid w:val="00D85B28"/>
    <w:rsid w:val="00D86ACC"/>
    <w:rsid w:val="00D96CA4"/>
    <w:rsid w:val="00D97158"/>
    <w:rsid w:val="00DA5800"/>
    <w:rsid w:val="00DA7049"/>
    <w:rsid w:val="00DB2E0A"/>
    <w:rsid w:val="00DB79CA"/>
    <w:rsid w:val="00DD07B7"/>
    <w:rsid w:val="00DD0F21"/>
    <w:rsid w:val="00DD536B"/>
    <w:rsid w:val="00DE29CC"/>
    <w:rsid w:val="00DE4392"/>
    <w:rsid w:val="00DF75E6"/>
    <w:rsid w:val="00E027B8"/>
    <w:rsid w:val="00E03D01"/>
    <w:rsid w:val="00E06B87"/>
    <w:rsid w:val="00E23A20"/>
    <w:rsid w:val="00E2571B"/>
    <w:rsid w:val="00E271BE"/>
    <w:rsid w:val="00E41754"/>
    <w:rsid w:val="00E41C9A"/>
    <w:rsid w:val="00E43D07"/>
    <w:rsid w:val="00E46726"/>
    <w:rsid w:val="00E56C3A"/>
    <w:rsid w:val="00E62889"/>
    <w:rsid w:val="00E82688"/>
    <w:rsid w:val="00E861B8"/>
    <w:rsid w:val="00EA1041"/>
    <w:rsid w:val="00EB0F7F"/>
    <w:rsid w:val="00EC0394"/>
    <w:rsid w:val="00EC655E"/>
    <w:rsid w:val="00EE0BC9"/>
    <w:rsid w:val="00EF03D6"/>
    <w:rsid w:val="00EF1D00"/>
    <w:rsid w:val="00EF1FC1"/>
    <w:rsid w:val="00EF598A"/>
    <w:rsid w:val="00F0054F"/>
    <w:rsid w:val="00F00C3D"/>
    <w:rsid w:val="00F07140"/>
    <w:rsid w:val="00F078E6"/>
    <w:rsid w:val="00F16458"/>
    <w:rsid w:val="00F16574"/>
    <w:rsid w:val="00F16829"/>
    <w:rsid w:val="00F16DCE"/>
    <w:rsid w:val="00F2231E"/>
    <w:rsid w:val="00F258CB"/>
    <w:rsid w:val="00F3260E"/>
    <w:rsid w:val="00F55BEE"/>
    <w:rsid w:val="00F64691"/>
    <w:rsid w:val="00F73EEE"/>
    <w:rsid w:val="00F77828"/>
    <w:rsid w:val="00F80A08"/>
    <w:rsid w:val="00F81220"/>
    <w:rsid w:val="00F83CCB"/>
    <w:rsid w:val="00F86531"/>
    <w:rsid w:val="00FA0EF1"/>
    <w:rsid w:val="00FA4765"/>
    <w:rsid w:val="00FB3BA0"/>
    <w:rsid w:val="00FB6A9B"/>
    <w:rsid w:val="00FB778D"/>
    <w:rsid w:val="00FC16C3"/>
    <w:rsid w:val="00FC6911"/>
    <w:rsid w:val="00FC7BFA"/>
    <w:rsid w:val="00FD16C6"/>
    <w:rsid w:val="00FD468C"/>
    <w:rsid w:val="00FD521A"/>
    <w:rsid w:val="00FD7791"/>
    <w:rsid w:val="00FE0695"/>
    <w:rsid w:val="00FE18A4"/>
    <w:rsid w:val="00FE23EE"/>
    <w:rsid w:val="00FE2C25"/>
    <w:rsid w:val="00FE5317"/>
    <w:rsid w:val="00FF2230"/>
    <w:rsid w:val="00FF2B66"/>
    <w:rsid w:val="00FF44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E0D5"/>
  <w15:chartTrackingRefBased/>
  <w15:docId w15:val="{8A0B80DA-9256-4598-972B-DCCA050B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7C4"/>
    <w:pPr>
      <w:spacing w:line="256" w:lineRule="auto"/>
    </w:pPr>
  </w:style>
  <w:style w:type="paragraph" w:styleId="Ttulo1">
    <w:name w:val="heading 1"/>
    <w:basedOn w:val="Normal"/>
    <w:link w:val="Ttulo1Car"/>
    <w:uiPriority w:val="9"/>
    <w:qFormat/>
    <w:rsid w:val="00856A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57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57C4"/>
  </w:style>
  <w:style w:type="paragraph" w:styleId="Ttulo">
    <w:name w:val="Title"/>
    <w:basedOn w:val="Normal"/>
    <w:link w:val="TtuloCar"/>
    <w:qFormat/>
    <w:rsid w:val="003B57C4"/>
    <w:pPr>
      <w:spacing w:after="0" w:line="240" w:lineRule="auto"/>
      <w:jc w:val="center"/>
    </w:pPr>
    <w:rPr>
      <w:rFonts w:ascii="Times New Roman" w:eastAsia="Times New Roman" w:hAnsi="Times New Roman" w:cs="Times New Roman"/>
      <w:b/>
      <w:bCs/>
      <w:sz w:val="24"/>
      <w:szCs w:val="24"/>
    </w:rPr>
  </w:style>
  <w:style w:type="character" w:customStyle="1" w:styleId="TtuloCar">
    <w:name w:val="Título Car"/>
    <w:basedOn w:val="Fuentedeprrafopredeter"/>
    <w:link w:val="Ttulo"/>
    <w:rsid w:val="003B57C4"/>
    <w:rPr>
      <w:rFonts w:ascii="Times New Roman" w:eastAsia="Times New Roman" w:hAnsi="Times New Roman" w:cs="Times New Roman"/>
      <w:b/>
      <w:bCs/>
      <w:sz w:val="24"/>
      <w:szCs w:val="24"/>
    </w:rPr>
  </w:style>
  <w:style w:type="paragraph" w:styleId="Piedepgina">
    <w:name w:val="footer"/>
    <w:basedOn w:val="Normal"/>
    <w:link w:val="PiedepginaCar"/>
    <w:uiPriority w:val="99"/>
    <w:unhideWhenUsed/>
    <w:rsid w:val="003B57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57C4"/>
  </w:style>
  <w:style w:type="paragraph" w:styleId="Prrafodelista">
    <w:name w:val="List Paragraph"/>
    <w:basedOn w:val="Normal"/>
    <w:uiPriority w:val="34"/>
    <w:qFormat/>
    <w:rsid w:val="00B10D02"/>
    <w:pPr>
      <w:ind w:left="720"/>
      <w:contextualSpacing/>
    </w:pPr>
  </w:style>
  <w:style w:type="character" w:styleId="Hipervnculo">
    <w:name w:val="Hyperlink"/>
    <w:basedOn w:val="Fuentedeprrafopredeter"/>
    <w:uiPriority w:val="99"/>
    <w:unhideWhenUsed/>
    <w:rsid w:val="002F1FD6"/>
    <w:rPr>
      <w:color w:val="0563C1" w:themeColor="hyperlink"/>
      <w:u w:val="single"/>
    </w:rPr>
  </w:style>
  <w:style w:type="character" w:styleId="Mencinsinresolver">
    <w:name w:val="Unresolved Mention"/>
    <w:basedOn w:val="Fuentedeprrafopredeter"/>
    <w:uiPriority w:val="99"/>
    <w:semiHidden/>
    <w:unhideWhenUsed/>
    <w:rsid w:val="002F1FD6"/>
    <w:rPr>
      <w:color w:val="605E5C"/>
      <w:shd w:val="clear" w:color="auto" w:fill="E1DFDD"/>
    </w:rPr>
  </w:style>
  <w:style w:type="table" w:styleId="Tablaconcuadrcula">
    <w:name w:val="Table Grid"/>
    <w:basedOn w:val="Tablanormal"/>
    <w:uiPriority w:val="39"/>
    <w:rsid w:val="0059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Fuentedeprrafopredeter"/>
    <w:rsid w:val="004C6219"/>
  </w:style>
  <w:style w:type="character" w:customStyle="1" w:styleId="normaltextrun">
    <w:name w:val="normaltextrun"/>
    <w:basedOn w:val="Fuentedeprrafopredeter"/>
    <w:rsid w:val="00D20BA8"/>
  </w:style>
  <w:style w:type="character" w:customStyle="1" w:styleId="eop">
    <w:name w:val="eop"/>
    <w:basedOn w:val="Fuentedeprrafopredeter"/>
    <w:rsid w:val="00D20BA8"/>
  </w:style>
  <w:style w:type="paragraph" w:styleId="Textodeglobo">
    <w:name w:val="Balloon Text"/>
    <w:basedOn w:val="Normal"/>
    <w:link w:val="TextodegloboCar"/>
    <w:uiPriority w:val="99"/>
    <w:semiHidden/>
    <w:unhideWhenUsed/>
    <w:rsid w:val="00677C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CE4"/>
    <w:rPr>
      <w:rFonts w:ascii="Segoe UI" w:hAnsi="Segoe UI" w:cs="Segoe UI"/>
      <w:sz w:val="18"/>
      <w:szCs w:val="18"/>
    </w:rPr>
  </w:style>
  <w:style w:type="paragraph" w:styleId="Textonotapie">
    <w:name w:val="footnote text"/>
    <w:basedOn w:val="Normal"/>
    <w:link w:val="TextonotapieCar"/>
    <w:uiPriority w:val="99"/>
    <w:semiHidden/>
    <w:unhideWhenUsed/>
    <w:rsid w:val="000123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2324"/>
    <w:rPr>
      <w:sz w:val="20"/>
      <w:szCs w:val="20"/>
    </w:rPr>
  </w:style>
  <w:style w:type="character" w:styleId="Refdenotaalpie">
    <w:name w:val="footnote reference"/>
    <w:basedOn w:val="Fuentedeprrafopredeter"/>
    <w:uiPriority w:val="99"/>
    <w:semiHidden/>
    <w:unhideWhenUsed/>
    <w:rsid w:val="00012324"/>
    <w:rPr>
      <w:vertAlign w:val="superscript"/>
    </w:rPr>
  </w:style>
  <w:style w:type="paragraph" w:customStyle="1" w:styleId="TableParagraph">
    <w:name w:val="Table Paragraph"/>
    <w:basedOn w:val="Normal"/>
    <w:uiPriority w:val="1"/>
    <w:qFormat/>
    <w:rsid w:val="0011727C"/>
    <w:pPr>
      <w:widowControl w:val="0"/>
      <w:autoSpaceDE w:val="0"/>
      <w:autoSpaceDN w:val="0"/>
      <w:spacing w:after="0" w:line="240" w:lineRule="auto"/>
    </w:pPr>
    <w:rPr>
      <w:rFonts w:ascii="Arial MT" w:eastAsia="Arial MT" w:hAnsi="Arial MT" w:cs="Arial MT"/>
      <w:lang w:val="es-ES"/>
    </w:rPr>
  </w:style>
  <w:style w:type="character" w:styleId="Refdecomentario">
    <w:name w:val="annotation reference"/>
    <w:basedOn w:val="Fuentedeprrafopredeter"/>
    <w:uiPriority w:val="99"/>
    <w:semiHidden/>
    <w:unhideWhenUsed/>
    <w:rsid w:val="006E509D"/>
    <w:rPr>
      <w:sz w:val="16"/>
      <w:szCs w:val="16"/>
    </w:rPr>
  </w:style>
  <w:style w:type="paragraph" w:styleId="Textocomentario">
    <w:name w:val="annotation text"/>
    <w:basedOn w:val="Normal"/>
    <w:link w:val="TextocomentarioCar"/>
    <w:uiPriority w:val="99"/>
    <w:unhideWhenUsed/>
    <w:rsid w:val="006E509D"/>
    <w:pPr>
      <w:spacing w:line="240" w:lineRule="auto"/>
    </w:pPr>
    <w:rPr>
      <w:sz w:val="20"/>
      <w:szCs w:val="20"/>
    </w:rPr>
  </w:style>
  <w:style w:type="character" w:customStyle="1" w:styleId="TextocomentarioCar">
    <w:name w:val="Texto comentario Car"/>
    <w:basedOn w:val="Fuentedeprrafopredeter"/>
    <w:link w:val="Textocomentario"/>
    <w:uiPriority w:val="99"/>
    <w:rsid w:val="006E509D"/>
    <w:rPr>
      <w:sz w:val="20"/>
      <w:szCs w:val="20"/>
    </w:rPr>
  </w:style>
  <w:style w:type="paragraph" w:styleId="Asuntodelcomentario">
    <w:name w:val="annotation subject"/>
    <w:basedOn w:val="Textocomentario"/>
    <w:next w:val="Textocomentario"/>
    <w:link w:val="AsuntodelcomentarioCar"/>
    <w:uiPriority w:val="99"/>
    <w:semiHidden/>
    <w:unhideWhenUsed/>
    <w:rsid w:val="006E509D"/>
    <w:rPr>
      <w:b/>
      <w:bCs/>
    </w:rPr>
  </w:style>
  <w:style w:type="character" w:customStyle="1" w:styleId="AsuntodelcomentarioCar">
    <w:name w:val="Asunto del comentario Car"/>
    <w:basedOn w:val="TextocomentarioCar"/>
    <w:link w:val="Asuntodelcomentario"/>
    <w:uiPriority w:val="99"/>
    <w:semiHidden/>
    <w:rsid w:val="006E509D"/>
    <w:rPr>
      <w:b/>
      <w:bCs/>
      <w:sz w:val="20"/>
      <w:szCs w:val="20"/>
    </w:rPr>
  </w:style>
  <w:style w:type="character" w:customStyle="1" w:styleId="Ttulo1Car">
    <w:name w:val="Título 1 Car"/>
    <w:basedOn w:val="Fuentedeprrafopredeter"/>
    <w:link w:val="Ttulo1"/>
    <w:uiPriority w:val="9"/>
    <w:rsid w:val="00856AAB"/>
    <w:rPr>
      <w:rFonts w:ascii="Times New Roman" w:eastAsia="Times New Roman" w:hAnsi="Times New Roman" w:cs="Times New Roman"/>
      <w:b/>
      <w:bCs/>
      <w:kern w:val="36"/>
      <w:sz w:val="48"/>
      <w:szCs w:val="48"/>
      <w:lang w:eastAsia="es-CO"/>
    </w:rPr>
  </w:style>
  <w:style w:type="character" w:customStyle="1" w:styleId="anchor-text">
    <w:name w:val="anchor-text"/>
    <w:basedOn w:val="Fuentedeprrafopredeter"/>
    <w:rsid w:val="006C0666"/>
  </w:style>
  <w:style w:type="character" w:customStyle="1" w:styleId="markedcontent">
    <w:name w:val="markedcontent"/>
    <w:basedOn w:val="Fuentedeprrafopredeter"/>
    <w:rsid w:val="00D46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326">
      <w:bodyDiv w:val="1"/>
      <w:marLeft w:val="0"/>
      <w:marRight w:val="0"/>
      <w:marTop w:val="0"/>
      <w:marBottom w:val="0"/>
      <w:divBdr>
        <w:top w:val="none" w:sz="0" w:space="0" w:color="auto"/>
        <w:left w:val="none" w:sz="0" w:space="0" w:color="auto"/>
        <w:bottom w:val="none" w:sz="0" w:space="0" w:color="auto"/>
        <w:right w:val="none" w:sz="0" w:space="0" w:color="auto"/>
      </w:divBdr>
    </w:div>
    <w:div w:id="122191682">
      <w:bodyDiv w:val="1"/>
      <w:marLeft w:val="0"/>
      <w:marRight w:val="0"/>
      <w:marTop w:val="0"/>
      <w:marBottom w:val="0"/>
      <w:divBdr>
        <w:top w:val="none" w:sz="0" w:space="0" w:color="auto"/>
        <w:left w:val="none" w:sz="0" w:space="0" w:color="auto"/>
        <w:bottom w:val="none" w:sz="0" w:space="0" w:color="auto"/>
        <w:right w:val="none" w:sz="0" w:space="0" w:color="auto"/>
      </w:divBdr>
    </w:div>
    <w:div w:id="168066654">
      <w:bodyDiv w:val="1"/>
      <w:marLeft w:val="0"/>
      <w:marRight w:val="0"/>
      <w:marTop w:val="0"/>
      <w:marBottom w:val="0"/>
      <w:divBdr>
        <w:top w:val="none" w:sz="0" w:space="0" w:color="auto"/>
        <w:left w:val="none" w:sz="0" w:space="0" w:color="auto"/>
        <w:bottom w:val="none" w:sz="0" w:space="0" w:color="auto"/>
        <w:right w:val="none" w:sz="0" w:space="0" w:color="auto"/>
      </w:divBdr>
    </w:div>
    <w:div w:id="232937607">
      <w:bodyDiv w:val="1"/>
      <w:marLeft w:val="0"/>
      <w:marRight w:val="0"/>
      <w:marTop w:val="0"/>
      <w:marBottom w:val="0"/>
      <w:divBdr>
        <w:top w:val="none" w:sz="0" w:space="0" w:color="auto"/>
        <w:left w:val="none" w:sz="0" w:space="0" w:color="auto"/>
        <w:bottom w:val="none" w:sz="0" w:space="0" w:color="auto"/>
        <w:right w:val="none" w:sz="0" w:space="0" w:color="auto"/>
      </w:divBdr>
    </w:div>
    <w:div w:id="507867737">
      <w:bodyDiv w:val="1"/>
      <w:marLeft w:val="0"/>
      <w:marRight w:val="0"/>
      <w:marTop w:val="0"/>
      <w:marBottom w:val="0"/>
      <w:divBdr>
        <w:top w:val="none" w:sz="0" w:space="0" w:color="auto"/>
        <w:left w:val="none" w:sz="0" w:space="0" w:color="auto"/>
        <w:bottom w:val="none" w:sz="0" w:space="0" w:color="auto"/>
        <w:right w:val="none" w:sz="0" w:space="0" w:color="auto"/>
      </w:divBdr>
    </w:div>
    <w:div w:id="663977831">
      <w:bodyDiv w:val="1"/>
      <w:marLeft w:val="0"/>
      <w:marRight w:val="0"/>
      <w:marTop w:val="0"/>
      <w:marBottom w:val="0"/>
      <w:divBdr>
        <w:top w:val="none" w:sz="0" w:space="0" w:color="auto"/>
        <w:left w:val="none" w:sz="0" w:space="0" w:color="auto"/>
        <w:bottom w:val="none" w:sz="0" w:space="0" w:color="auto"/>
        <w:right w:val="none" w:sz="0" w:space="0" w:color="auto"/>
      </w:divBdr>
    </w:div>
    <w:div w:id="720907714">
      <w:bodyDiv w:val="1"/>
      <w:marLeft w:val="0"/>
      <w:marRight w:val="0"/>
      <w:marTop w:val="0"/>
      <w:marBottom w:val="0"/>
      <w:divBdr>
        <w:top w:val="none" w:sz="0" w:space="0" w:color="auto"/>
        <w:left w:val="none" w:sz="0" w:space="0" w:color="auto"/>
        <w:bottom w:val="none" w:sz="0" w:space="0" w:color="auto"/>
        <w:right w:val="none" w:sz="0" w:space="0" w:color="auto"/>
      </w:divBdr>
    </w:div>
    <w:div w:id="895815843">
      <w:bodyDiv w:val="1"/>
      <w:marLeft w:val="0"/>
      <w:marRight w:val="0"/>
      <w:marTop w:val="0"/>
      <w:marBottom w:val="0"/>
      <w:divBdr>
        <w:top w:val="none" w:sz="0" w:space="0" w:color="auto"/>
        <w:left w:val="none" w:sz="0" w:space="0" w:color="auto"/>
        <w:bottom w:val="none" w:sz="0" w:space="0" w:color="auto"/>
        <w:right w:val="none" w:sz="0" w:space="0" w:color="auto"/>
      </w:divBdr>
    </w:div>
    <w:div w:id="1184636670">
      <w:bodyDiv w:val="1"/>
      <w:marLeft w:val="0"/>
      <w:marRight w:val="0"/>
      <w:marTop w:val="0"/>
      <w:marBottom w:val="0"/>
      <w:divBdr>
        <w:top w:val="none" w:sz="0" w:space="0" w:color="auto"/>
        <w:left w:val="none" w:sz="0" w:space="0" w:color="auto"/>
        <w:bottom w:val="none" w:sz="0" w:space="0" w:color="auto"/>
        <w:right w:val="none" w:sz="0" w:space="0" w:color="auto"/>
      </w:divBdr>
      <w:divsChild>
        <w:div w:id="335109906">
          <w:marLeft w:val="0"/>
          <w:marRight w:val="0"/>
          <w:marTop w:val="0"/>
          <w:marBottom w:val="0"/>
          <w:divBdr>
            <w:top w:val="none" w:sz="0" w:space="0" w:color="auto"/>
            <w:left w:val="none" w:sz="0" w:space="0" w:color="auto"/>
            <w:bottom w:val="none" w:sz="0" w:space="0" w:color="auto"/>
            <w:right w:val="none" w:sz="0" w:space="0" w:color="auto"/>
          </w:divBdr>
        </w:div>
        <w:div w:id="197279056">
          <w:marLeft w:val="0"/>
          <w:marRight w:val="0"/>
          <w:marTop w:val="0"/>
          <w:marBottom w:val="0"/>
          <w:divBdr>
            <w:top w:val="none" w:sz="0" w:space="0" w:color="auto"/>
            <w:left w:val="none" w:sz="0" w:space="0" w:color="auto"/>
            <w:bottom w:val="none" w:sz="0" w:space="0" w:color="auto"/>
            <w:right w:val="none" w:sz="0" w:space="0" w:color="auto"/>
          </w:divBdr>
          <w:divsChild>
            <w:div w:id="18144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0433">
      <w:bodyDiv w:val="1"/>
      <w:marLeft w:val="0"/>
      <w:marRight w:val="0"/>
      <w:marTop w:val="0"/>
      <w:marBottom w:val="0"/>
      <w:divBdr>
        <w:top w:val="none" w:sz="0" w:space="0" w:color="auto"/>
        <w:left w:val="none" w:sz="0" w:space="0" w:color="auto"/>
        <w:bottom w:val="none" w:sz="0" w:space="0" w:color="auto"/>
        <w:right w:val="none" w:sz="0" w:space="0" w:color="auto"/>
      </w:divBdr>
    </w:div>
    <w:div w:id="1700857606">
      <w:bodyDiv w:val="1"/>
      <w:marLeft w:val="0"/>
      <w:marRight w:val="0"/>
      <w:marTop w:val="0"/>
      <w:marBottom w:val="0"/>
      <w:divBdr>
        <w:top w:val="none" w:sz="0" w:space="0" w:color="auto"/>
        <w:left w:val="none" w:sz="0" w:space="0" w:color="auto"/>
        <w:bottom w:val="none" w:sz="0" w:space="0" w:color="auto"/>
        <w:right w:val="none" w:sz="0" w:space="0" w:color="auto"/>
      </w:divBdr>
    </w:div>
    <w:div w:id="1919513209">
      <w:bodyDiv w:val="1"/>
      <w:marLeft w:val="0"/>
      <w:marRight w:val="0"/>
      <w:marTop w:val="0"/>
      <w:marBottom w:val="0"/>
      <w:divBdr>
        <w:top w:val="none" w:sz="0" w:space="0" w:color="auto"/>
        <w:left w:val="none" w:sz="0" w:space="0" w:color="auto"/>
        <w:bottom w:val="none" w:sz="0" w:space="0" w:color="auto"/>
        <w:right w:val="none" w:sz="0" w:space="0" w:color="auto"/>
      </w:divBdr>
      <w:divsChild>
        <w:div w:id="328022496">
          <w:marLeft w:val="0"/>
          <w:marRight w:val="0"/>
          <w:marTop w:val="0"/>
          <w:marBottom w:val="0"/>
          <w:divBdr>
            <w:top w:val="none" w:sz="0" w:space="0" w:color="auto"/>
            <w:left w:val="none" w:sz="0" w:space="0" w:color="auto"/>
            <w:bottom w:val="none" w:sz="0" w:space="0" w:color="auto"/>
            <w:right w:val="none" w:sz="0" w:space="0" w:color="auto"/>
          </w:divBdr>
          <w:divsChild>
            <w:div w:id="7271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en/documents/minutes/minutes-prac-meeting-3-6-may-2021_.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ga.gov.au/news/safety-updates/clindamycin-capsules-and-injections-acute-kidney-injury" TargetMode="External"/><Relationship Id="rId5" Type="http://schemas.openxmlformats.org/officeDocument/2006/relationships/styles" Target="styles.xml"/><Relationship Id="rId15" Type="http://schemas.openxmlformats.org/officeDocument/2006/relationships/hyperlink" Target="https://www.tga.gov.au/news/safety-updates/clindamycin-capsules-and-injections-acute-kidney-injury" TargetMode="External"/><Relationship Id="rId10" Type="http://schemas.openxmlformats.org/officeDocument/2006/relationships/hyperlink" Target="https://www.aemps.gob.es/informa/boletin-mensual-de-seguridad-de-la-aemps-sobre-medicamentos-de-uso-humano-del-mes-de-mayo-de-202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mps.gob.es/informa/boletin-mensual-de-seguridad-de-la-aemps-sobre-medicamentos-de-uso-humano-del-mes-de-mayo-de-20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A346EDA73424993FAEDA7A85EF429" ma:contentTypeVersion="13" ma:contentTypeDescription="Create a new document." ma:contentTypeScope="" ma:versionID="f409bf05523a11d0ec23d76b870c6270">
  <xsd:schema xmlns:xsd="http://www.w3.org/2001/XMLSchema" xmlns:xs="http://www.w3.org/2001/XMLSchema" xmlns:p="http://schemas.microsoft.com/office/2006/metadata/properties" xmlns:ns2="162df88d-1b13-4182-a83f-3f33652b798c" xmlns:ns3="eb1d835c-422a-4cd8-a674-a5571febc50e" targetNamespace="http://schemas.microsoft.com/office/2006/metadata/properties" ma:root="true" ma:fieldsID="c82715a26f8fca351564872fdd3163c9" ns2:_="" ns3:_="">
    <xsd:import namespace="162df88d-1b13-4182-a83f-3f33652b798c"/>
    <xsd:import namespace="eb1d835c-422a-4cd8-a674-a5571febc5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df88d-1b13-4182-a83f-3f33652b7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d835c-422a-4cd8-a674-a5571febc5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84aea61-cbb9-495f-9f1d-71e0e20e312c}" ma:internalName="TaxCatchAll" ma:showField="CatchAllData" ma:web="eb1d835c-422a-4cd8-a674-a5571fe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1d835c-422a-4cd8-a674-a5571febc50e" xsi:nil="true"/>
    <lcf76f155ced4ddcb4097134ff3c332f xmlns="162df88d-1b13-4182-a83f-3f33652b79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EE065-9806-4208-93DE-46B24FB24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df88d-1b13-4182-a83f-3f33652b798c"/>
    <ds:schemaRef ds:uri="eb1d835c-422a-4cd8-a674-a5571fe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C74CA-5268-4D2E-BE2E-B484310B0E69}">
  <ds:schemaRefs>
    <ds:schemaRef ds:uri="http://schemas.microsoft.com/sharepoint/v3/contenttype/forms"/>
  </ds:schemaRefs>
</ds:datastoreItem>
</file>

<file path=customXml/itemProps3.xml><?xml version="1.0" encoding="utf-8"?>
<ds:datastoreItem xmlns:ds="http://schemas.openxmlformats.org/officeDocument/2006/customXml" ds:itemID="{499B93B0-C519-4C91-9772-3CBED1848F5F}">
  <ds:schemaRefs>
    <ds:schemaRef ds:uri="http://schemas.microsoft.com/office/2006/metadata/properties"/>
    <ds:schemaRef ds:uri="http://schemas.microsoft.com/office/infopath/2007/PartnerControls"/>
    <ds:schemaRef ds:uri="eb1d835c-422a-4cd8-a674-a5571febc50e"/>
    <ds:schemaRef ds:uri="162df88d-1b13-4182-a83f-3f33652b798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2739</Words>
  <Characters>15069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 Javier Sánchez Sánchez</dc:creator>
  <cp:keywords/>
  <dc:description/>
  <cp:lastModifiedBy>Gloria Cecilia Peñuela</cp:lastModifiedBy>
  <cp:revision>4</cp:revision>
  <cp:lastPrinted>2023-05-25T17:39:00Z</cp:lastPrinted>
  <dcterms:created xsi:type="dcterms:W3CDTF">2023-05-25T17:41:00Z</dcterms:created>
  <dcterms:modified xsi:type="dcterms:W3CDTF">2023-07-31T15:31:00Z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0x01010017CA346EDA73424993FAEDA7A85EF429</vt:lpwstr>
  </property>
  <property fmtid="{D5CDD505-2E9C-101B-9397-08002B2CF9AE}" pid="3" name="MediaServiceImageTags">
    <vt:lpwstr/>
  </property>
</Properties>
</file>